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49046" w14:textId="77777777" w:rsidR="00A50029" w:rsidRPr="00E24728" w:rsidRDefault="00DF1DD6" w:rsidP="00A50029">
      <w:pPr>
        <w:rPr>
          <w:sz w:val="20"/>
          <w:szCs w:val="20"/>
        </w:rPr>
      </w:pPr>
      <w:r w:rsidRPr="00E24728">
        <w:rPr>
          <w:rFonts w:ascii="Arial" w:hAnsi="Arial" w:cs="Arial"/>
          <w:noProof/>
          <w:sz w:val="20"/>
          <w:szCs w:val="20"/>
          <w:lang w:eastAsia="sk-SK"/>
        </w:rPr>
        <w:drawing>
          <wp:anchor distT="0" distB="0" distL="114300" distR="114300" simplePos="0" relativeHeight="251656192" behindDoc="1" locked="0" layoutInCell="1" allowOverlap="1" wp14:anchorId="57D695DD" wp14:editId="5E4032E6">
            <wp:simplePos x="0" y="0"/>
            <wp:positionH relativeFrom="column">
              <wp:posOffset>4336415</wp:posOffset>
            </wp:positionH>
            <wp:positionV relativeFrom="paragraph">
              <wp:posOffset>194</wp:posOffset>
            </wp:positionV>
            <wp:extent cx="1306195" cy="952500"/>
            <wp:effectExtent l="0" t="0" r="8255" b="0"/>
            <wp:wrapTight wrapText="bothSides">
              <wp:wrapPolygon edited="0">
                <wp:start x="0" y="0"/>
                <wp:lineTo x="0" y="21168"/>
                <wp:lineTo x="21421" y="21168"/>
                <wp:lineTo x="21421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3D23" w:rsidRPr="00E24728">
        <w:rPr>
          <w:b/>
          <w:noProof/>
          <w:lang w:eastAsia="sk-SK"/>
        </w:rPr>
        <w:drawing>
          <wp:anchor distT="0" distB="0" distL="114300" distR="114300" simplePos="0" relativeHeight="251667456" behindDoc="0" locked="0" layoutInCell="1" allowOverlap="1" wp14:anchorId="5FED85CF" wp14:editId="36333163">
            <wp:simplePos x="0" y="0"/>
            <wp:positionH relativeFrom="column">
              <wp:posOffset>5080</wp:posOffset>
            </wp:positionH>
            <wp:positionV relativeFrom="paragraph">
              <wp:posOffset>-118745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029" w:rsidRPr="00E24728">
        <w:rPr>
          <w:sz w:val="20"/>
          <w:szCs w:val="20"/>
        </w:rPr>
        <w:tab/>
      </w:r>
      <w:r w:rsidR="00A50029" w:rsidRPr="00E24728">
        <w:rPr>
          <w:sz w:val="20"/>
          <w:szCs w:val="20"/>
        </w:rPr>
        <w:tab/>
      </w:r>
    </w:p>
    <w:p w14:paraId="274F8E52" w14:textId="77777777" w:rsidR="00A50029" w:rsidRPr="00E24728" w:rsidRDefault="00A50029" w:rsidP="00A50029">
      <w:pPr>
        <w:rPr>
          <w:b/>
          <w:sz w:val="20"/>
          <w:szCs w:val="20"/>
        </w:rPr>
      </w:pP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  <w:t xml:space="preserve">    </w:t>
      </w: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</w:r>
    </w:p>
    <w:p w14:paraId="32139ECE" w14:textId="77777777" w:rsidR="00A50029" w:rsidRPr="00E24728" w:rsidRDefault="00A50029" w:rsidP="00A50029">
      <w:pPr>
        <w:rPr>
          <w:b/>
          <w:sz w:val="20"/>
          <w:szCs w:val="20"/>
        </w:rPr>
      </w:pPr>
    </w:p>
    <w:p w14:paraId="35C01576" w14:textId="77777777" w:rsidR="009E3D23" w:rsidRPr="00E24728" w:rsidRDefault="009E3D23" w:rsidP="00DF1DD6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E24728">
        <w:rPr>
          <w:rFonts w:ascii="Arial" w:hAnsi="Arial" w:cs="Arial"/>
          <w:sz w:val="20"/>
          <w:szCs w:val="20"/>
        </w:rPr>
        <w:t>Európska únia</w:t>
      </w:r>
    </w:p>
    <w:p w14:paraId="2504146E" w14:textId="77777777" w:rsidR="009E3D23" w:rsidRPr="00E24728" w:rsidRDefault="009E3D23" w:rsidP="00DF1DD6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E24728">
        <w:rPr>
          <w:rFonts w:ascii="Arial" w:hAnsi="Arial" w:cs="Arial"/>
          <w:sz w:val="20"/>
          <w:szCs w:val="20"/>
        </w:rPr>
        <w:t>Európsky fond regionálneho</w:t>
      </w:r>
      <w:bookmarkStart w:id="0" w:name="_GoBack"/>
      <w:bookmarkEnd w:id="0"/>
    </w:p>
    <w:p w14:paraId="28907B28" w14:textId="77777777" w:rsidR="009E3D23" w:rsidRPr="00E24728" w:rsidRDefault="009E3D23" w:rsidP="00DF1DD6">
      <w:pPr>
        <w:spacing w:after="0"/>
        <w:ind w:right="6804"/>
        <w:jc w:val="center"/>
        <w:rPr>
          <w:b/>
          <w:sz w:val="20"/>
          <w:szCs w:val="20"/>
        </w:rPr>
      </w:pPr>
      <w:r w:rsidRPr="00E24728">
        <w:rPr>
          <w:rFonts w:ascii="Arial" w:hAnsi="Arial" w:cs="Arial"/>
          <w:sz w:val="20"/>
          <w:szCs w:val="20"/>
        </w:rPr>
        <w:t>rozvoja</w:t>
      </w:r>
    </w:p>
    <w:p w14:paraId="49D1740A" w14:textId="4E5D3C95" w:rsidR="00C6439D" w:rsidRPr="00E24728" w:rsidRDefault="00D239D4" w:rsidP="00A50029">
      <w:pPr>
        <w:jc w:val="center"/>
        <w:rPr>
          <w:b/>
          <w:sz w:val="40"/>
          <w:szCs w:val="20"/>
        </w:rPr>
      </w:pPr>
      <w:r w:rsidRPr="00E24728">
        <w:rPr>
          <w:b/>
          <w:sz w:val="40"/>
          <w:szCs w:val="20"/>
        </w:rPr>
        <w:t xml:space="preserve">Metodický </w:t>
      </w:r>
      <w:r w:rsidR="00942655" w:rsidRPr="00E24728">
        <w:rPr>
          <w:b/>
          <w:sz w:val="40"/>
          <w:szCs w:val="20"/>
        </w:rPr>
        <w:t>výklad</w:t>
      </w:r>
      <w:r w:rsidR="00D61BB6" w:rsidRPr="00E24728">
        <w:rPr>
          <w:b/>
          <w:sz w:val="40"/>
          <w:szCs w:val="20"/>
        </w:rPr>
        <w:t xml:space="preserve"> </w:t>
      </w:r>
      <w:r w:rsidR="00D61BB6" w:rsidRPr="00E24728">
        <w:rPr>
          <w:b/>
          <w:sz w:val="40"/>
          <w:szCs w:val="40"/>
        </w:rPr>
        <w:t xml:space="preserve">CKO č. </w:t>
      </w:r>
      <w:sdt>
        <w:sdtPr>
          <w:rPr>
            <w:b/>
            <w:sz w:val="40"/>
            <w:szCs w:val="40"/>
          </w:rPr>
          <w:alias w:val="Poradové číslo vzoru"/>
          <w:tag w:val="Poradové číslo vzoru"/>
          <w:id w:val="-123233620"/>
          <w:placeholder>
            <w:docPart w:val="A4219D09901046338368609D5773AFB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F5F03">
            <w:rPr>
              <w:b/>
              <w:sz w:val="40"/>
              <w:szCs w:val="40"/>
            </w:rPr>
            <w:t>11</w:t>
          </w:r>
        </w:sdtContent>
      </w:sdt>
    </w:p>
    <w:p w14:paraId="035D7A8E" w14:textId="77777777" w:rsidR="00D61BB6" w:rsidRPr="00E24728" w:rsidRDefault="00D61BB6" w:rsidP="00D61BB6">
      <w:pPr>
        <w:jc w:val="center"/>
        <w:rPr>
          <w:b/>
          <w:sz w:val="28"/>
          <w:szCs w:val="20"/>
        </w:rPr>
      </w:pPr>
      <w:r w:rsidRPr="00E24728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E24728" w14:paraId="519A530A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343341AC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Vec:</w:t>
            </w:r>
          </w:p>
          <w:p w14:paraId="2D6B4425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0721FF0F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3E429E18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1CB7C8AD" w14:textId="15D23FCB" w:rsidR="00C55097" w:rsidRPr="00C65F06" w:rsidRDefault="000F3900" w:rsidP="00C65F0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65F06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401FD6" w:rsidRPr="00C65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65F06" w:rsidRPr="00C65F06">
              <w:rPr>
                <w:rFonts w:asciiTheme="minorHAnsi" w:hAnsiTheme="minorHAnsi" w:cstheme="minorHAnsi"/>
                <w:sz w:val="22"/>
                <w:szCs w:val="22"/>
              </w:rPr>
              <w:t>zákonu č. 198/2022 Z.</w:t>
            </w:r>
            <w:r w:rsidR="00C65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65F06" w:rsidRPr="00C65F06">
              <w:rPr>
                <w:rFonts w:asciiTheme="minorHAnsi" w:hAnsiTheme="minorHAnsi" w:cstheme="minorHAnsi"/>
                <w:sz w:val="22"/>
                <w:szCs w:val="22"/>
              </w:rPr>
              <w:t>z., ktorým sa mení a dopĺňa zákon č. 292/2014 Z. z. o príspevku poskytovanom z európskych štrukturálnych a investičných fondov a o zmene a doplnení niektorých zákonov v znení neskorších predpisov</w:t>
            </w:r>
          </w:p>
        </w:tc>
      </w:tr>
      <w:tr w:rsidR="009836CF" w:rsidRPr="00E24728" w14:paraId="0D77B86D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28707755" w14:textId="77777777" w:rsidR="009836CF" w:rsidRPr="00E40BD9" w:rsidRDefault="009836CF" w:rsidP="006479DF">
            <w:pPr>
              <w:rPr>
                <w:b/>
                <w:sz w:val="26"/>
                <w:szCs w:val="26"/>
              </w:rPr>
            </w:pPr>
            <w:r w:rsidRPr="00E40BD9">
              <w:rPr>
                <w:b/>
                <w:sz w:val="26"/>
                <w:szCs w:val="26"/>
              </w:rPr>
              <w:t>Určené pre:</w:t>
            </w:r>
          </w:p>
          <w:p w14:paraId="7D9EC367" w14:textId="77777777" w:rsidR="0084743A" w:rsidRPr="00E40BD9" w:rsidRDefault="0084743A" w:rsidP="006479DF">
            <w:pPr>
              <w:rPr>
                <w:b/>
                <w:sz w:val="26"/>
                <w:szCs w:val="26"/>
              </w:rPr>
            </w:pPr>
          </w:p>
          <w:p w14:paraId="4EBB4A37" w14:textId="77777777" w:rsidR="0084743A" w:rsidRPr="00E40BD9" w:rsidRDefault="0084743A" w:rsidP="006479DF">
            <w:pPr>
              <w:rPr>
                <w:b/>
                <w:sz w:val="26"/>
                <w:szCs w:val="26"/>
              </w:rPr>
            </w:pPr>
          </w:p>
          <w:p w14:paraId="021B0D4E" w14:textId="77777777" w:rsidR="0084743A" w:rsidRPr="00E40BD9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62DA1D56" w14:textId="77777777" w:rsidR="009836CF" w:rsidRPr="00E40BD9" w:rsidRDefault="005935A0" w:rsidP="006A5157">
            <w:pPr>
              <w:jc w:val="both"/>
              <w:rPr>
                <w:szCs w:val="20"/>
              </w:rPr>
            </w:pPr>
            <w:r w:rsidRPr="00E40BD9">
              <w:rPr>
                <w:szCs w:val="20"/>
              </w:rPr>
              <w:t>Riadiace orgány</w:t>
            </w:r>
          </w:p>
          <w:p w14:paraId="64A44854" w14:textId="77777777" w:rsidR="005935A0" w:rsidRPr="00E40BD9" w:rsidRDefault="005935A0" w:rsidP="006A5157">
            <w:pPr>
              <w:jc w:val="both"/>
              <w:rPr>
                <w:szCs w:val="20"/>
              </w:rPr>
            </w:pPr>
            <w:r w:rsidRPr="00E40BD9">
              <w:rPr>
                <w:szCs w:val="20"/>
              </w:rPr>
              <w:t>Sprostredkovateľské orgány</w:t>
            </w:r>
          </w:p>
        </w:tc>
      </w:tr>
      <w:tr w:rsidR="009836CF" w:rsidRPr="00E24728" w14:paraId="06C18F21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44EAF561" w14:textId="77777777" w:rsidR="009836CF" w:rsidRPr="00E40BD9" w:rsidRDefault="00116F61" w:rsidP="006479DF">
            <w:pPr>
              <w:rPr>
                <w:b/>
                <w:sz w:val="26"/>
                <w:szCs w:val="26"/>
              </w:rPr>
            </w:pPr>
            <w:r w:rsidRPr="00E40BD9">
              <w:rPr>
                <w:b/>
                <w:sz w:val="26"/>
                <w:szCs w:val="26"/>
              </w:rPr>
              <w:t>Na vedomie:</w:t>
            </w:r>
          </w:p>
          <w:p w14:paraId="04D46488" w14:textId="77777777" w:rsidR="0084743A" w:rsidRPr="00E40BD9" w:rsidRDefault="0084743A" w:rsidP="006479DF">
            <w:pPr>
              <w:rPr>
                <w:b/>
                <w:sz w:val="26"/>
                <w:szCs w:val="26"/>
              </w:rPr>
            </w:pPr>
          </w:p>
          <w:p w14:paraId="63216429" w14:textId="77777777" w:rsidR="0084743A" w:rsidRPr="00E40BD9" w:rsidRDefault="0084743A" w:rsidP="006479DF">
            <w:pPr>
              <w:rPr>
                <w:b/>
                <w:sz w:val="26"/>
                <w:szCs w:val="26"/>
              </w:rPr>
            </w:pPr>
          </w:p>
          <w:p w14:paraId="130C5FED" w14:textId="77777777" w:rsidR="0084743A" w:rsidRPr="00E40BD9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5CC8B135" w14:textId="77777777" w:rsidR="009836CF" w:rsidRPr="00E40BD9" w:rsidRDefault="005935A0" w:rsidP="006A5157">
            <w:pPr>
              <w:jc w:val="both"/>
              <w:rPr>
                <w:szCs w:val="20"/>
              </w:rPr>
            </w:pPr>
            <w:r w:rsidRPr="00E40BD9">
              <w:rPr>
                <w:szCs w:val="20"/>
              </w:rPr>
              <w:t>Certifikačný orgán</w:t>
            </w:r>
          </w:p>
          <w:p w14:paraId="27D33A9F" w14:textId="2D4E895F" w:rsidR="00CA0381" w:rsidRPr="00E40BD9" w:rsidRDefault="005935A0" w:rsidP="006A5157">
            <w:pPr>
              <w:jc w:val="both"/>
              <w:rPr>
                <w:szCs w:val="20"/>
              </w:rPr>
            </w:pPr>
            <w:r w:rsidRPr="00E40BD9">
              <w:rPr>
                <w:szCs w:val="20"/>
              </w:rPr>
              <w:t>Orgán auditu</w:t>
            </w:r>
          </w:p>
          <w:p w14:paraId="1ADD9D0D" w14:textId="77777777" w:rsidR="005935A0" w:rsidRPr="00B72D80" w:rsidRDefault="005935A0" w:rsidP="006A5157">
            <w:pPr>
              <w:jc w:val="both"/>
              <w:rPr>
                <w:szCs w:val="20"/>
              </w:rPr>
            </w:pPr>
            <w:r w:rsidRPr="00B72D80">
              <w:rPr>
                <w:szCs w:val="20"/>
              </w:rPr>
              <w:t>Gestori horizontálnych princípov</w:t>
            </w:r>
          </w:p>
          <w:p w14:paraId="1B78DCF6" w14:textId="6AFE5CFA" w:rsidR="00995169" w:rsidRPr="00E40BD9" w:rsidRDefault="00995169" w:rsidP="006A5157">
            <w:pPr>
              <w:jc w:val="both"/>
              <w:rPr>
                <w:szCs w:val="20"/>
              </w:rPr>
            </w:pPr>
            <w:r w:rsidRPr="00B72D80">
              <w:rPr>
                <w:szCs w:val="20"/>
              </w:rPr>
              <w:t>Platobné jednotky</w:t>
            </w:r>
          </w:p>
        </w:tc>
      </w:tr>
      <w:tr w:rsidR="009836CF" w:rsidRPr="00E24728" w14:paraId="217F6E26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4A9C9C96" w14:textId="77777777" w:rsidR="009836CF" w:rsidRPr="00E24728" w:rsidRDefault="00116F61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Vydáva:</w:t>
            </w:r>
          </w:p>
          <w:p w14:paraId="752FF7C9" w14:textId="77777777" w:rsidR="0084743A" w:rsidRPr="00E24728" w:rsidRDefault="0084743A" w:rsidP="006479DF">
            <w:pPr>
              <w:rPr>
                <w:b/>
                <w:sz w:val="16"/>
                <w:szCs w:val="20"/>
              </w:rPr>
            </w:pPr>
          </w:p>
          <w:p w14:paraId="4C41DD4B" w14:textId="77777777" w:rsidR="003B0DFE" w:rsidRPr="00E24728" w:rsidRDefault="003B0DFE" w:rsidP="006479DF">
            <w:pPr>
              <w:rPr>
                <w:b/>
                <w:sz w:val="16"/>
                <w:szCs w:val="20"/>
              </w:rPr>
            </w:pPr>
          </w:p>
          <w:p w14:paraId="15D36914" w14:textId="77777777" w:rsidR="003B0DFE" w:rsidRPr="00E24728" w:rsidRDefault="003B0DFE" w:rsidP="006479DF">
            <w:pPr>
              <w:rPr>
                <w:b/>
                <w:sz w:val="16"/>
                <w:szCs w:val="20"/>
              </w:rPr>
            </w:pPr>
          </w:p>
          <w:p w14:paraId="6A72EE25" w14:textId="77777777" w:rsidR="003B0DFE" w:rsidRPr="00E24728" w:rsidRDefault="003B0DFE" w:rsidP="006479DF">
            <w:pPr>
              <w:rPr>
                <w:b/>
                <w:sz w:val="16"/>
                <w:szCs w:val="20"/>
              </w:rPr>
            </w:pPr>
          </w:p>
          <w:p w14:paraId="5626DF07" w14:textId="77777777" w:rsidR="003B0DFE" w:rsidRPr="00E24728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2C46E45D" w14:textId="77777777" w:rsidR="009836CF" w:rsidRPr="00E24728" w:rsidRDefault="0084743A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Centrálny koordinačný orgán</w:t>
            </w:r>
          </w:p>
          <w:p w14:paraId="36B38EF0" w14:textId="65FCFC49" w:rsidR="00B53B4A" w:rsidRPr="00E24728" w:rsidRDefault="005F5F03" w:rsidP="00942655">
            <w:pPr>
              <w:jc w:val="both"/>
              <w:rPr>
                <w:szCs w:val="20"/>
              </w:rPr>
            </w:pPr>
            <w:r>
              <w:t>Ministerstvo investícií, regionálneho rozvoja a informatizácie SR</w:t>
            </w:r>
            <w:r w:rsidR="00C9618D" w:rsidRPr="00E24728">
              <w:rPr>
                <w:szCs w:val="20"/>
              </w:rPr>
              <w:t xml:space="preserve"> </w:t>
            </w:r>
            <w:r w:rsidR="00B53B4A" w:rsidRPr="00E24728">
              <w:rPr>
                <w:szCs w:val="20"/>
              </w:rPr>
              <w:t xml:space="preserve">v súlade s kapitolou 1.2, ods. 3, písm. </w:t>
            </w:r>
            <w:r w:rsidR="00942655" w:rsidRPr="00E24728">
              <w:rPr>
                <w:szCs w:val="20"/>
              </w:rPr>
              <w:t>c</w:t>
            </w:r>
            <w:r w:rsidR="00B53B4A" w:rsidRPr="00E24728">
              <w:rPr>
                <w:szCs w:val="20"/>
              </w:rPr>
              <w:t xml:space="preserve">) Systému riadenia </w:t>
            </w:r>
            <w:r w:rsidR="003B0DFE" w:rsidRPr="00E24728">
              <w:rPr>
                <w:szCs w:val="20"/>
              </w:rPr>
              <w:t>európskych štrukturálnych a investičných fondov</w:t>
            </w:r>
          </w:p>
        </w:tc>
      </w:tr>
      <w:tr w:rsidR="009836CF" w:rsidRPr="00E24728" w14:paraId="39995F07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30B15CEE" w14:textId="77777777" w:rsidR="009836CF" w:rsidRPr="00E24728" w:rsidRDefault="00116F61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Záväznosť:</w:t>
            </w:r>
          </w:p>
          <w:p w14:paraId="1F46E7FC" w14:textId="77777777" w:rsidR="0084743A" w:rsidRPr="00E24728" w:rsidRDefault="0084743A" w:rsidP="006479DF">
            <w:pPr>
              <w:rPr>
                <w:b/>
                <w:sz w:val="16"/>
                <w:szCs w:val="16"/>
              </w:rPr>
            </w:pPr>
          </w:p>
          <w:p w14:paraId="7E3E79FF" w14:textId="77777777" w:rsidR="003B0DFE" w:rsidRPr="00E24728" w:rsidRDefault="003B0DFE" w:rsidP="006479DF">
            <w:pPr>
              <w:rPr>
                <w:b/>
                <w:sz w:val="16"/>
                <w:szCs w:val="16"/>
              </w:rPr>
            </w:pPr>
          </w:p>
          <w:p w14:paraId="3DDB2878" w14:textId="77777777" w:rsidR="003B0DFE" w:rsidRPr="00E24728" w:rsidRDefault="003B0DFE" w:rsidP="006479DF">
            <w:pPr>
              <w:rPr>
                <w:b/>
                <w:sz w:val="16"/>
                <w:szCs w:val="16"/>
              </w:rPr>
            </w:pPr>
          </w:p>
          <w:p w14:paraId="1BAC4EC0" w14:textId="77777777" w:rsidR="003B0DFE" w:rsidRPr="00E24728" w:rsidRDefault="003B0DFE" w:rsidP="006479DF">
            <w:pPr>
              <w:rPr>
                <w:b/>
                <w:sz w:val="16"/>
                <w:szCs w:val="16"/>
              </w:rPr>
            </w:pPr>
          </w:p>
          <w:p w14:paraId="3C55D658" w14:textId="77777777" w:rsidR="006A5157" w:rsidRPr="00E24728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výklad má záväzný charakter v celom svojom rozsahu." w:value="Metodický výklad má záväzný charakter v celom svojom rozsahu."/>
              <w:listItem w:displayText="Metodický výklad má záväzný charakter v celom rozsahu, ak v jeho texte nie je pri konkrétnom ustanovení uvedené inak." w:value="Metodický výklad má záväzný charakter v celom rozsahu, ak v jeho texte nie je pri konkrétnom ustanovení uvedené inak."/>
              <w:listItem w:displayText="Metodický výklad má odporúčací charakter." w:value="Metodický výklad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14:paraId="440CC975" w14:textId="0F4C7517" w:rsidR="009836CF" w:rsidRPr="00E24728" w:rsidRDefault="000637C7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výklad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E24728" w14:paraId="09BE3EDD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4BDF5AFF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Počet príloh:</w:t>
            </w:r>
          </w:p>
          <w:p w14:paraId="52B2BF1A" w14:textId="77777777" w:rsidR="006A5157" w:rsidRPr="00E24728" w:rsidRDefault="006A5157" w:rsidP="006479DF">
            <w:pPr>
              <w:rPr>
                <w:b/>
              </w:rPr>
            </w:pPr>
          </w:p>
          <w:p w14:paraId="2E5A39D0" w14:textId="77777777" w:rsidR="003B0DFE" w:rsidRPr="00E24728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5668B395" w14:textId="2B88B81B" w:rsidR="009836CF" w:rsidRPr="00670CB8" w:rsidRDefault="0005107F" w:rsidP="006A5157">
            <w:pPr>
              <w:jc w:val="both"/>
              <w:rPr>
                <w:rStyle w:val="Zstupntext"/>
                <w:color w:val="auto"/>
              </w:rPr>
            </w:pPr>
            <w:r>
              <w:rPr>
                <w:rStyle w:val="Zstupntext"/>
                <w:color w:val="auto"/>
              </w:rPr>
              <w:t>1</w:t>
            </w:r>
          </w:p>
        </w:tc>
      </w:tr>
      <w:tr w:rsidR="009836CF" w:rsidRPr="00E24728" w14:paraId="5EA39E3F" w14:textId="77777777" w:rsidTr="003B4B73">
        <w:trPr>
          <w:trHeight w:val="1120"/>
        </w:trPr>
        <w:tc>
          <w:tcPr>
            <w:tcW w:w="2268" w:type="dxa"/>
            <w:shd w:val="clear" w:color="auto" w:fill="FBD4B4" w:themeFill="accent6" w:themeFillTint="66"/>
          </w:tcPr>
          <w:p w14:paraId="627E4EB1" w14:textId="77777777" w:rsidR="009836CF" w:rsidRPr="00BA0EF7" w:rsidRDefault="009836CF" w:rsidP="006479DF">
            <w:pPr>
              <w:rPr>
                <w:b/>
                <w:sz w:val="26"/>
                <w:szCs w:val="26"/>
              </w:rPr>
            </w:pPr>
            <w:r w:rsidRPr="00BA0EF7">
              <w:rPr>
                <w:b/>
                <w:sz w:val="26"/>
                <w:szCs w:val="26"/>
              </w:rPr>
              <w:t>Dátum vydania:</w:t>
            </w:r>
          </w:p>
          <w:p w14:paraId="229DD52A" w14:textId="77777777" w:rsidR="006A5157" w:rsidRPr="00BA0EF7" w:rsidRDefault="006A5157" w:rsidP="006479DF">
            <w:pPr>
              <w:rPr>
                <w:b/>
                <w:sz w:val="26"/>
                <w:szCs w:val="26"/>
              </w:rPr>
            </w:pPr>
          </w:p>
          <w:p w14:paraId="1C075F36" w14:textId="77777777" w:rsidR="003B0DFE" w:rsidRPr="00BA0EF7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8B949C02102C48BB806712B08BA79ACC"/>
            </w:placeholder>
            <w:date w:fullDate="2022-07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14:paraId="61DC61DF" w14:textId="58196C9D" w:rsidR="009836CF" w:rsidRPr="00BA0EF7" w:rsidRDefault="00BA0EF7" w:rsidP="0059551F">
                <w:pPr>
                  <w:jc w:val="both"/>
                  <w:rPr>
                    <w:szCs w:val="20"/>
                  </w:rPr>
                </w:pPr>
                <w:r w:rsidRPr="00BA0EF7">
                  <w:rPr>
                    <w:szCs w:val="20"/>
                  </w:rPr>
                  <w:t>01.07.2022</w:t>
                </w:r>
              </w:p>
            </w:tc>
          </w:sdtContent>
        </w:sdt>
      </w:tr>
      <w:tr w:rsidR="009836CF" w:rsidRPr="00E24728" w14:paraId="59A8515D" w14:textId="77777777" w:rsidTr="003B4B73">
        <w:trPr>
          <w:trHeight w:val="1278"/>
        </w:trPr>
        <w:tc>
          <w:tcPr>
            <w:tcW w:w="2268" w:type="dxa"/>
            <w:shd w:val="clear" w:color="auto" w:fill="FBD4B4" w:themeFill="accent6" w:themeFillTint="66"/>
          </w:tcPr>
          <w:p w14:paraId="45FAC8DA" w14:textId="77777777" w:rsidR="009836CF" w:rsidRPr="00BA0EF7" w:rsidRDefault="009836CF" w:rsidP="006479DF">
            <w:pPr>
              <w:rPr>
                <w:b/>
                <w:sz w:val="26"/>
                <w:szCs w:val="26"/>
              </w:rPr>
            </w:pPr>
            <w:r w:rsidRPr="00BA0EF7">
              <w:rPr>
                <w:b/>
                <w:sz w:val="26"/>
                <w:szCs w:val="26"/>
              </w:rPr>
              <w:t>Dátum účinnosti:</w:t>
            </w:r>
          </w:p>
          <w:p w14:paraId="0D79D1B6" w14:textId="77777777" w:rsidR="003B0DFE" w:rsidRPr="00BA0EF7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22-07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14:paraId="156EE087" w14:textId="1887E5F4" w:rsidR="009836CF" w:rsidRPr="00BA0EF7" w:rsidRDefault="00BA0EF7" w:rsidP="0059551F">
                <w:pPr>
                  <w:jc w:val="both"/>
                  <w:rPr>
                    <w:szCs w:val="20"/>
                  </w:rPr>
                </w:pPr>
                <w:r w:rsidRPr="00BA0EF7">
                  <w:rPr>
                    <w:szCs w:val="20"/>
                  </w:rPr>
                  <w:t>01.07.2022</w:t>
                </w:r>
              </w:p>
            </w:tc>
          </w:sdtContent>
        </w:sdt>
      </w:tr>
      <w:tr w:rsidR="009836CF" w:rsidRPr="00E24728" w14:paraId="1153E44E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29465113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FBD4B4" w:themeFill="accent6" w:themeFillTint="66"/>
          </w:tcPr>
          <w:p w14:paraId="09A11C26" w14:textId="5A499970" w:rsidR="00C9618D" w:rsidRPr="00E24728" w:rsidRDefault="00BC14B8" w:rsidP="00C9618D">
            <w:pPr>
              <w:jc w:val="both"/>
            </w:pPr>
            <w:r w:rsidRPr="00E24728">
              <w:t>JUDr. Denisa Žiláková</w:t>
            </w:r>
          </w:p>
          <w:p w14:paraId="04C193E8" w14:textId="77777777" w:rsidR="00C214B6" w:rsidRPr="00E24728" w:rsidRDefault="00BC14B8" w:rsidP="00DD4310">
            <w:pPr>
              <w:jc w:val="both"/>
              <w:rPr>
                <w:szCs w:val="20"/>
              </w:rPr>
            </w:pPr>
            <w:r w:rsidRPr="00E24728">
              <w:t>generálna riaditeľka sekcie centrálny koordinačný orgán</w:t>
            </w:r>
          </w:p>
        </w:tc>
      </w:tr>
    </w:tbl>
    <w:p w14:paraId="5A6A4094" w14:textId="77777777" w:rsidR="00D61BB6" w:rsidRPr="00E24728" w:rsidRDefault="00D61BB6" w:rsidP="006479DF">
      <w:pPr>
        <w:rPr>
          <w:sz w:val="20"/>
          <w:szCs w:val="20"/>
        </w:rPr>
      </w:pPr>
    </w:p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sdtEndPr>
      <w:sdtContent>
        <w:p w14:paraId="393C491B" w14:textId="77777777" w:rsidR="00460F75" w:rsidRPr="00E24728" w:rsidRDefault="00460F75" w:rsidP="00F57292">
          <w:pPr>
            <w:pStyle w:val="Hlavikaobsahu"/>
            <w:tabs>
              <w:tab w:val="left" w:pos="8258"/>
            </w:tabs>
          </w:pPr>
          <w:r w:rsidRPr="00E24728">
            <w:t>Obsah</w:t>
          </w:r>
          <w:r w:rsidR="00F57292" w:rsidRPr="00E24728">
            <w:tab/>
          </w:r>
        </w:p>
        <w:p w14:paraId="58CD5465" w14:textId="77777777" w:rsidR="00460F75" w:rsidRPr="00E24728" w:rsidRDefault="00460F75" w:rsidP="00460F75"/>
        <w:p w14:paraId="10E908A0" w14:textId="61C127E2" w:rsidR="00FE19BA" w:rsidRDefault="00460F75" w:rsidP="00FE19BA">
          <w:pPr>
            <w:pStyle w:val="Obsah2"/>
            <w:rPr>
              <w:rFonts w:eastAsiaTheme="minorEastAsia"/>
              <w:noProof/>
              <w:lang w:eastAsia="sk-SK"/>
            </w:rPr>
          </w:pPr>
          <w:r w:rsidRPr="00E24728">
            <w:fldChar w:fldCharType="begin"/>
          </w:r>
          <w:r w:rsidRPr="00E24728">
            <w:instrText xml:space="preserve"> TOC \o "1-5" \h \z \u </w:instrText>
          </w:r>
          <w:r w:rsidRPr="00E24728">
            <w:fldChar w:fldCharType="separate"/>
          </w:r>
          <w:hyperlink w:anchor="_Toc107581572" w:history="1">
            <w:r w:rsidR="00FE19BA" w:rsidRPr="00D71C3D">
              <w:rPr>
                <w:rStyle w:val="Hypertextovprepojenie"/>
                <w:noProof/>
              </w:rPr>
              <w:t xml:space="preserve">1 </w:t>
            </w:r>
            <w:r w:rsidR="00FE19BA">
              <w:rPr>
                <w:rFonts w:eastAsiaTheme="minorEastAsia"/>
                <w:noProof/>
                <w:lang w:eastAsia="sk-SK"/>
              </w:rPr>
              <w:tab/>
            </w:r>
            <w:r w:rsidR="00FE19BA" w:rsidRPr="00D71C3D">
              <w:rPr>
                <w:rStyle w:val="Hypertextovprepojenie"/>
                <w:noProof/>
              </w:rPr>
              <w:t>Úvod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_Toc107581572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1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56FC948D" w14:textId="25C7B255" w:rsidR="00FE19BA" w:rsidRDefault="00F25E6E" w:rsidP="00FE19BA">
          <w:pPr>
            <w:pStyle w:val="Obsah2"/>
            <w:rPr>
              <w:rFonts w:eastAsiaTheme="minorEastAsia"/>
              <w:noProof/>
              <w:lang w:eastAsia="sk-SK"/>
            </w:rPr>
          </w:pPr>
          <w:hyperlink w:anchor="_Toc107581573" w:history="1">
            <w:r w:rsidR="00FE19BA" w:rsidRPr="00D71C3D">
              <w:rPr>
                <w:rStyle w:val="Hypertextovprepojenie"/>
                <w:noProof/>
              </w:rPr>
              <w:t xml:space="preserve">2 </w:t>
            </w:r>
            <w:r w:rsidR="00FE19BA">
              <w:rPr>
                <w:rFonts w:eastAsiaTheme="minorEastAsia"/>
                <w:noProof/>
                <w:lang w:eastAsia="sk-SK"/>
              </w:rPr>
              <w:tab/>
            </w:r>
            <w:r w:rsidR="00FE19BA" w:rsidRPr="00D71C3D">
              <w:rPr>
                <w:rStyle w:val="Hypertextovprepojenie"/>
                <w:noProof/>
              </w:rPr>
              <w:t>Využitie osobitných ustanovení k poskytovaniu dodatočného príspevku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_Toc107581573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2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32DBC86E" w14:textId="49772818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74" w:history="1">
            <w:r w:rsidR="00FE19BA" w:rsidRPr="00D71C3D">
              <w:rPr>
                <w:rStyle w:val="Hypertextovprepojenie"/>
                <w:noProof/>
              </w:rPr>
              <w:t>2.1 Popis legislatívnej úpravy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_Toc107581574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2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34A4EA52" w14:textId="14F58C08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75" w:history="1">
            <w:r w:rsidR="00FE19BA" w:rsidRPr="00D71C3D">
              <w:rPr>
                <w:rStyle w:val="Hypertextovprepojenie"/>
                <w:noProof/>
              </w:rPr>
              <w:t>2.2 Zmeny v Časti 3 Implementácia operačných programov Systému riadenia EŠIF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_Toc107581575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2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35BE14C5" w14:textId="379B9B14" w:rsidR="00FE19BA" w:rsidRDefault="00F25E6E" w:rsidP="00FE19BA">
          <w:pPr>
            <w:pStyle w:val="Obsah2"/>
            <w:rPr>
              <w:rFonts w:eastAsiaTheme="minorEastAsia"/>
              <w:noProof/>
              <w:lang w:eastAsia="sk-SK"/>
            </w:rPr>
          </w:pPr>
          <w:hyperlink w:anchor="_Toc107581576" w:history="1">
            <w:r w:rsidR="00FE19BA" w:rsidRPr="00D71C3D">
              <w:rPr>
                <w:rStyle w:val="Hypertextovprepojenie"/>
                <w:noProof/>
              </w:rPr>
              <w:t>3</w:t>
            </w:r>
            <w:r w:rsidR="00FE19BA">
              <w:rPr>
                <w:rFonts w:eastAsiaTheme="minorEastAsia"/>
                <w:noProof/>
                <w:lang w:eastAsia="sk-SK"/>
              </w:rPr>
              <w:tab/>
            </w:r>
            <w:r w:rsidR="00FE19BA" w:rsidRPr="00D71C3D">
              <w:rPr>
                <w:rStyle w:val="Hypertextovprepojenie"/>
                <w:noProof/>
              </w:rPr>
              <w:t xml:space="preserve"> Inštitút zásobníka projektov pri projektoch technickej pomoci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_Toc107581576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5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582FA042" w14:textId="52C20303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77" w:history="1">
            <w:r w:rsidR="00FE19BA" w:rsidRPr="00D71C3D">
              <w:rPr>
                <w:rStyle w:val="Hypertextovprepojenie"/>
                <w:noProof/>
              </w:rPr>
              <w:t>3.1 Popis legislatívnej úpravy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_Toc107581577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5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3623E3E3" w14:textId="660AD40E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78" w:history="1">
            <w:r w:rsidR="00FE19BA" w:rsidRPr="00D71C3D">
              <w:rPr>
                <w:rStyle w:val="Hypertextovprepojenie"/>
                <w:noProof/>
              </w:rPr>
              <w:t>3.2 Zmeny v kapitole 3.4.3. Projekty technickej pomoci Systému riadenia EŠIF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_Toc107581578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6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19EA4220" w14:textId="67D6778A" w:rsidR="00FE19BA" w:rsidRDefault="00F25E6E" w:rsidP="00FE19BA">
          <w:pPr>
            <w:pStyle w:val="Obsah2"/>
            <w:rPr>
              <w:rFonts w:eastAsiaTheme="minorEastAsia"/>
              <w:noProof/>
              <w:lang w:eastAsia="sk-SK"/>
            </w:rPr>
          </w:pPr>
          <w:hyperlink w:anchor="_Toc107581579" w:history="1">
            <w:r w:rsidR="00FE19BA" w:rsidRPr="00D71C3D">
              <w:rPr>
                <w:rStyle w:val="Hypertextovprepojenie"/>
                <w:noProof/>
              </w:rPr>
              <w:t xml:space="preserve">4 </w:t>
            </w:r>
            <w:r w:rsidR="00FE19BA">
              <w:rPr>
                <w:rFonts w:eastAsiaTheme="minorEastAsia"/>
                <w:noProof/>
                <w:lang w:eastAsia="sk-SK"/>
              </w:rPr>
              <w:tab/>
            </w:r>
            <w:r w:rsidR="00FE19BA" w:rsidRPr="00D71C3D">
              <w:rPr>
                <w:rStyle w:val="Hypertextovprepojenie"/>
                <w:noProof/>
              </w:rPr>
              <w:t>Rozšírenie definície krízovej situácie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_Toc107581579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7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4AF7841D" w14:textId="56C53253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80" w:history="1">
            <w:r w:rsidR="00FE19BA" w:rsidRPr="00D71C3D">
              <w:rPr>
                <w:rStyle w:val="Hypertextovprepojenie"/>
                <w:noProof/>
              </w:rPr>
              <w:t>4.1 Popis legislatívnej úpravy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_Toc107581580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7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1494391C" w14:textId="76A05F6F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81" w:history="1">
            <w:r w:rsidR="00FE19BA" w:rsidRPr="00D71C3D">
              <w:rPr>
                <w:rStyle w:val="Hypertextovprepojenie"/>
                <w:noProof/>
              </w:rPr>
              <w:t>4.2 Zmeny v kapitole 1.2.1 Zoznam použitých skratiek a vybraných pojmov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_Toc107581581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7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155FA238" w14:textId="01E898A9" w:rsidR="00FE19BA" w:rsidRDefault="00F25E6E" w:rsidP="00FE19BA">
          <w:pPr>
            <w:pStyle w:val="Obsah2"/>
            <w:rPr>
              <w:rFonts w:eastAsiaTheme="minorEastAsia"/>
              <w:noProof/>
              <w:lang w:eastAsia="sk-SK"/>
            </w:rPr>
          </w:pPr>
          <w:hyperlink w:anchor="_Toc107581582" w:history="1">
            <w:r w:rsidR="00FE19BA" w:rsidRPr="00D71C3D">
              <w:rPr>
                <w:rStyle w:val="Hypertextovprepojenie"/>
                <w:noProof/>
              </w:rPr>
              <w:t>5</w:t>
            </w:r>
            <w:r w:rsidR="00FE19BA">
              <w:rPr>
                <w:rFonts w:eastAsiaTheme="minorEastAsia"/>
                <w:noProof/>
                <w:lang w:eastAsia="sk-SK"/>
              </w:rPr>
              <w:tab/>
            </w:r>
            <w:r w:rsidR="00FE19BA" w:rsidRPr="00D71C3D">
              <w:rPr>
                <w:rStyle w:val="Hypertextovprepojenie"/>
                <w:noProof/>
              </w:rPr>
              <w:t>Ďalšie precizovanie právnej úpravy a zabezpečenie jej súladu s národnou a európskou legislatívou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_Toc107581582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8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10DEF6EB" w14:textId="5B16D612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83" w:history="1">
            <w:r w:rsidR="00FE19BA" w:rsidRPr="00D71C3D">
              <w:rPr>
                <w:rStyle w:val="Hypertextovprepojenie"/>
                <w:noProof/>
              </w:rPr>
              <w:t>5.1 Doplnenie právnej úpravy v § 7 zákona o príspevku z EŠIF - oprávnenie RO požadovať súčinnosť od Policajného zboru, orgánov činných v trestnom konaní a súdu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_Toc107581583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8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54B34E2A" w14:textId="5D303C7F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84" w:history="1">
            <w:r w:rsidR="00FE19BA" w:rsidRPr="00D71C3D">
              <w:rPr>
                <w:rStyle w:val="Hypertextovprepojenie"/>
                <w:noProof/>
              </w:rPr>
              <w:t>5.2 Precizovanie právnej úpravy v § 7 ods. 3 zákona o príspevku z EŠIF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_Toc107581584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8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7DCA9551" w14:textId="22AB8C56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85" w:history="1">
            <w:r w:rsidR="00FE19BA" w:rsidRPr="00D71C3D">
              <w:rPr>
                <w:rStyle w:val="Hypertextovprepojenie"/>
                <w:noProof/>
              </w:rPr>
              <w:t>5.3 Precizovanie právnej úpravy v § 16a ods. 2 zákona o príspevku z EŠIF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_Toc107581585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8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5FCF527D" w14:textId="7EF9619D" w:rsidR="00FE19BA" w:rsidRDefault="00F25E6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07581586" w:history="1">
            <w:r w:rsidR="00FE19BA" w:rsidRPr="00D71C3D">
              <w:rPr>
                <w:rStyle w:val="Hypertextovprepojenie"/>
                <w:noProof/>
              </w:rPr>
              <w:t>5.4 Precizovanie právnej úpravy v § 17 ods. 6 posledná veta zákona o príspevku z EŠIF a zmeny v kapitole 3.1.1.1 Zmena a zrušenie výzvy Systému riadenia EŠIF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_Toc107581586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8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2F9C6E3C" w14:textId="516ED79F" w:rsidR="00FE19BA" w:rsidRDefault="00F25E6E" w:rsidP="00FE19BA">
          <w:pPr>
            <w:pStyle w:val="Obsah2"/>
            <w:rPr>
              <w:rFonts w:eastAsiaTheme="minorEastAsia"/>
              <w:noProof/>
              <w:lang w:eastAsia="sk-SK"/>
            </w:rPr>
          </w:pPr>
          <w:hyperlink w:anchor="_Toc107581587" w:history="1">
            <w:r w:rsidR="00FE19BA" w:rsidRPr="00D71C3D">
              <w:rPr>
                <w:rStyle w:val="Hypertextovprepojenie"/>
                <w:noProof/>
              </w:rPr>
              <w:t>6  Zoznam príloh</w:t>
            </w:r>
            <w:r w:rsidR="00FE19BA">
              <w:rPr>
                <w:noProof/>
                <w:webHidden/>
              </w:rPr>
              <w:tab/>
            </w:r>
            <w:r w:rsidR="00FE19BA">
              <w:rPr>
                <w:noProof/>
                <w:webHidden/>
              </w:rPr>
              <w:fldChar w:fldCharType="begin"/>
            </w:r>
            <w:r w:rsidR="00FE19BA">
              <w:rPr>
                <w:noProof/>
                <w:webHidden/>
              </w:rPr>
              <w:instrText xml:space="preserve"> PAGEREF _Toc107581587 \h </w:instrText>
            </w:r>
            <w:r w:rsidR="00FE19BA">
              <w:rPr>
                <w:noProof/>
                <w:webHidden/>
              </w:rPr>
            </w:r>
            <w:r w:rsidR="00FE19BA">
              <w:rPr>
                <w:noProof/>
                <w:webHidden/>
              </w:rPr>
              <w:fldChar w:fldCharType="separate"/>
            </w:r>
            <w:r w:rsidR="00FE19BA">
              <w:rPr>
                <w:noProof/>
                <w:webHidden/>
              </w:rPr>
              <w:t>9</w:t>
            </w:r>
            <w:r w:rsidR="00FE19BA">
              <w:rPr>
                <w:noProof/>
                <w:webHidden/>
              </w:rPr>
              <w:fldChar w:fldCharType="end"/>
            </w:r>
          </w:hyperlink>
        </w:p>
        <w:p w14:paraId="1352CB29" w14:textId="7E2A74DD" w:rsidR="00460F75" w:rsidRPr="00E24728" w:rsidRDefault="00460F75">
          <w:r w:rsidRPr="00E24728">
            <w:fldChar w:fldCharType="end"/>
          </w:r>
        </w:p>
      </w:sdtContent>
    </w:sdt>
    <w:p w14:paraId="6A48ADFF" w14:textId="77777777" w:rsidR="00280D2B" w:rsidRPr="00E24728" w:rsidRDefault="00850467" w:rsidP="00966CAB">
      <w:pPr>
        <w:pStyle w:val="MPCKO1"/>
        <w:tabs>
          <w:tab w:val="left" w:pos="567"/>
        </w:tabs>
        <w:ind w:left="567" w:hanging="567"/>
      </w:pPr>
      <w:bookmarkStart w:id="3" w:name="_Toc107581572"/>
      <w:r w:rsidRPr="00E24728">
        <w:t xml:space="preserve">1 </w:t>
      </w:r>
      <w:r w:rsidR="00D728D9" w:rsidRPr="00E24728">
        <w:tab/>
      </w:r>
      <w:r w:rsidRPr="00E24728">
        <w:t>Úvod</w:t>
      </w:r>
      <w:bookmarkEnd w:id="2"/>
      <w:bookmarkEnd w:id="1"/>
      <w:bookmarkEnd w:id="3"/>
    </w:p>
    <w:p w14:paraId="2D47F53D" w14:textId="7431893D" w:rsidR="00286C1F" w:rsidRPr="00E40BD9" w:rsidRDefault="006B0837" w:rsidP="00286C1F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40BD9">
        <w:t xml:space="preserve">Dňa </w:t>
      </w:r>
      <w:r w:rsidR="005635FE" w:rsidRPr="00E40BD9">
        <w:t>07</w:t>
      </w:r>
      <w:r w:rsidRPr="00E40BD9">
        <w:t>.06.2022 bol v Zbierke z</w:t>
      </w:r>
      <w:r w:rsidR="00286C1F" w:rsidRPr="00E40BD9">
        <w:t>ákonov uverejnením vyhlásený</w:t>
      </w:r>
      <w:r w:rsidRPr="00E40BD9">
        <w:t xml:space="preserve"> zákon č. </w:t>
      </w:r>
      <w:r w:rsidR="005635FE" w:rsidRPr="00E40BD9">
        <w:t>198</w:t>
      </w:r>
      <w:r w:rsidRPr="00E40BD9">
        <w:t>/2022</w:t>
      </w:r>
      <w:r w:rsidR="00286C1F" w:rsidRPr="00E40BD9">
        <w:t xml:space="preserve"> Z. z.</w:t>
      </w:r>
      <w:r w:rsidRPr="00E40BD9">
        <w:t>, ktorým sa mení a dopĺňa zákon č. 292/2014 Z. z. o príspevku poskytovanom z európskych štrukturálnych a investičných fondov a o zmene a doplnení niektorých zákonov (ďalej len „zákon o príspevku z EŠIF“)</w:t>
      </w:r>
      <w:r w:rsidR="00286C1F" w:rsidRPr="00E40BD9">
        <w:t xml:space="preserve"> s dátumom účinnosti dňom vyhlásenia, </w:t>
      </w:r>
      <w:proofErr w:type="spellStart"/>
      <w:r w:rsidR="00286C1F" w:rsidRPr="00E40BD9">
        <w:t>t.j</w:t>
      </w:r>
      <w:proofErr w:type="spellEnd"/>
      <w:r w:rsidR="00286C1F" w:rsidRPr="00E40BD9">
        <w:t xml:space="preserve">. </w:t>
      </w:r>
      <w:r w:rsidR="005635FE" w:rsidRPr="00E40BD9">
        <w:t>od 07</w:t>
      </w:r>
      <w:r w:rsidR="00286C1F" w:rsidRPr="00E40BD9">
        <w:t>.06.2022.</w:t>
      </w:r>
    </w:p>
    <w:p w14:paraId="48723768" w14:textId="3DC93F88" w:rsidR="00CB36C8" w:rsidRPr="00E40BD9" w:rsidRDefault="00C113A0" w:rsidP="000D06BE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40BD9">
        <w:t xml:space="preserve">Úpravy jednotlivých ustanovení zákona o príspevku z EŠIF sú reflexiou zvýšenej záťaže na </w:t>
      </w:r>
      <w:r w:rsidR="008B25C5" w:rsidRPr="00E40BD9">
        <w:rPr>
          <w:rFonts w:eastAsia="Times New Roman"/>
          <w:lang w:eastAsia="sk-SK"/>
        </w:rPr>
        <w:t>verejné prostriedky z dôvodu riešenia dôsledkov pandémie COVID-19</w:t>
      </w:r>
      <w:r w:rsidR="007C0856" w:rsidRPr="00E40BD9">
        <w:rPr>
          <w:rFonts w:eastAsia="Times New Roman"/>
          <w:lang w:eastAsia="sk-SK"/>
        </w:rPr>
        <w:t>,</w:t>
      </w:r>
      <w:r w:rsidR="008B25C5" w:rsidRPr="00E40BD9">
        <w:rPr>
          <w:rFonts w:eastAsia="Times New Roman"/>
          <w:lang w:eastAsia="sk-SK"/>
        </w:rPr>
        <w:t xml:space="preserve"> ako aj dôsledkov vojenskej agresie Ruska proti Ukrajine a potreby reagovať na tieto krízové situácie</w:t>
      </w:r>
      <w:r w:rsidRPr="00E40BD9">
        <w:rPr>
          <w:rFonts w:eastAsia="Times New Roman"/>
          <w:lang w:eastAsia="sk-SK"/>
        </w:rPr>
        <w:t xml:space="preserve"> a zároveň výsledkom ďalších úprav schválených v rámci legislatívneho p</w:t>
      </w:r>
      <w:r w:rsidR="00D07722" w:rsidRPr="00E40BD9">
        <w:rPr>
          <w:rFonts w:eastAsia="Times New Roman"/>
          <w:lang w:eastAsia="sk-SK"/>
        </w:rPr>
        <w:t>rocesu prijímania tohto zákona.</w:t>
      </w:r>
    </w:p>
    <w:p w14:paraId="307667D2" w14:textId="41204ED8" w:rsidR="000F4124" w:rsidRDefault="004D7C98" w:rsidP="00AA287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40BD9">
        <w:t xml:space="preserve">Tento metodický výklad je vydaný v súlade s kapitolou 1.2 ods. </w:t>
      </w:r>
      <w:r w:rsidR="00076CD3">
        <w:t>3 písmeno c)</w:t>
      </w:r>
      <w:r w:rsidR="00076CD3" w:rsidRPr="00E40BD9">
        <w:t xml:space="preserve"> </w:t>
      </w:r>
      <w:r w:rsidRPr="0095691E">
        <w:t xml:space="preserve">Systému riadenia európskych štrukturálnych a investičných fondov (ďalej len „Systém riadenia EŠIF“). </w:t>
      </w:r>
      <w:r w:rsidR="000F4124" w:rsidRPr="0095691E">
        <w:t xml:space="preserve">CKO </w:t>
      </w:r>
      <w:r w:rsidR="000F4124" w:rsidRPr="0095691E">
        <w:lastRenderedPageBreak/>
        <w:t>rozpracovalo predmetnú legislatívnu úpravu</w:t>
      </w:r>
      <w:r w:rsidR="0095691E" w:rsidRPr="0095691E">
        <w:t xml:space="preserve"> predovšetkým</w:t>
      </w:r>
      <w:r w:rsidR="000F4124" w:rsidRPr="0095691E">
        <w:t xml:space="preserve"> s dopadom na ustanovenia Systému riadenia EŠIF.</w:t>
      </w:r>
      <w:r w:rsidR="000F4124">
        <w:t xml:space="preserve"> </w:t>
      </w:r>
    </w:p>
    <w:p w14:paraId="7360F775" w14:textId="77777777" w:rsidR="00D07722" w:rsidRDefault="00D07722" w:rsidP="00AA287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>Tento metodický výklad poskytuje usmernenie riadiacim a sprostredkovateľským orgánom k nasledovným legislatívnym úpravám:</w:t>
      </w:r>
    </w:p>
    <w:p w14:paraId="6A02322C" w14:textId="38FE5BB9" w:rsidR="00D07722" w:rsidRDefault="00B07382" w:rsidP="00AA2878">
      <w:pPr>
        <w:pStyle w:val="Odsekzoznamu"/>
        <w:numPr>
          <w:ilvl w:val="0"/>
          <w:numId w:val="27"/>
        </w:numPr>
        <w:jc w:val="both"/>
      </w:pPr>
      <w:r>
        <w:t>pravidlá poskytovania dodatočného príspevku,</w:t>
      </w:r>
    </w:p>
    <w:p w14:paraId="714BA6C3" w14:textId="39575811" w:rsidR="00D07722" w:rsidRDefault="00B07382" w:rsidP="00AA2878">
      <w:pPr>
        <w:pStyle w:val="Odsekzoznamu"/>
        <w:numPr>
          <w:ilvl w:val="0"/>
          <w:numId w:val="27"/>
        </w:numPr>
        <w:jc w:val="both"/>
      </w:pPr>
      <w:r>
        <w:t>inštitút</w:t>
      </w:r>
      <w:r w:rsidR="00D07722">
        <w:t xml:space="preserve"> zásobníka projektov pri projektoch technickej pomoci,</w:t>
      </w:r>
    </w:p>
    <w:p w14:paraId="7E496C70" w14:textId="77777777" w:rsidR="00D07722" w:rsidRDefault="00D07722" w:rsidP="00AA2878">
      <w:pPr>
        <w:pStyle w:val="Odsekzoznamu"/>
        <w:numPr>
          <w:ilvl w:val="0"/>
          <w:numId w:val="27"/>
        </w:numPr>
        <w:jc w:val="both"/>
      </w:pPr>
      <w:r>
        <w:t>rozšírenie definície krízovej situácie,</w:t>
      </w:r>
    </w:p>
    <w:p w14:paraId="61D21094" w14:textId="6DAC27DC" w:rsidR="00D07722" w:rsidRDefault="007A65F5" w:rsidP="00AA2878">
      <w:pPr>
        <w:pStyle w:val="Odsekzoznamu"/>
        <w:numPr>
          <w:ilvl w:val="0"/>
          <w:numId w:val="27"/>
        </w:numPr>
        <w:jc w:val="both"/>
      </w:pPr>
      <w:r>
        <w:t xml:space="preserve">ďalšie </w:t>
      </w:r>
      <w:r w:rsidR="00D07722">
        <w:t>precizovanie právnej úpravy a zabezpečenie jej súladu s národnou a európskou legislatívou.</w:t>
      </w:r>
    </w:p>
    <w:p w14:paraId="589EFB92" w14:textId="669CFEC3" w:rsidR="00F242B8" w:rsidRDefault="00280D2B" w:rsidP="00AA287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24728">
        <w:t xml:space="preserve">V metodickom výklade sú používané skratky a pojmy zavedené v zákone o príspevku z EŠIF a v Systéme riadenia </w:t>
      </w:r>
      <w:r w:rsidR="004D7C98">
        <w:t>EŠIF</w:t>
      </w:r>
      <w:r w:rsidRPr="00E24728">
        <w:t>.</w:t>
      </w:r>
    </w:p>
    <w:p w14:paraId="2FE663D8" w14:textId="77777777" w:rsidR="00AA2878" w:rsidRPr="00AA2878" w:rsidRDefault="00AA2878" w:rsidP="00AA2878">
      <w:pPr>
        <w:spacing w:after="0"/>
      </w:pPr>
    </w:p>
    <w:p w14:paraId="5A4B161A" w14:textId="422E2C19" w:rsidR="000A5922" w:rsidRDefault="00280D2B" w:rsidP="00AA2878">
      <w:pPr>
        <w:pStyle w:val="MPCKO1"/>
        <w:tabs>
          <w:tab w:val="left" w:pos="567"/>
        </w:tabs>
        <w:ind w:left="567" w:hanging="567"/>
        <w:jc w:val="both"/>
      </w:pPr>
      <w:bookmarkStart w:id="4" w:name="_Toc107581573"/>
      <w:r w:rsidRPr="00E24728">
        <w:t xml:space="preserve">2 </w:t>
      </w:r>
      <w:r w:rsidRPr="00E24728">
        <w:tab/>
      </w:r>
      <w:r w:rsidR="00CF176B">
        <w:t>Využitie osobitných ustanovení k poskytovaniu</w:t>
      </w:r>
      <w:r w:rsidR="00291259">
        <w:t xml:space="preserve"> dodatočného príspevku</w:t>
      </w:r>
      <w:bookmarkEnd w:id="4"/>
    </w:p>
    <w:p w14:paraId="6EC92FDB" w14:textId="7A706AB4" w:rsidR="00AE173F" w:rsidRDefault="00AE173F" w:rsidP="00AA2878">
      <w:pPr>
        <w:pStyle w:val="MPCKO2"/>
        <w:spacing w:after="300"/>
      </w:pPr>
      <w:bookmarkStart w:id="5" w:name="_Toc107581574"/>
      <w:r>
        <w:t>2</w:t>
      </w:r>
      <w:r w:rsidRPr="007366EE">
        <w:t xml:space="preserve">.1 </w:t>
      </w:r>
      <w:r>
        <w:t>Popis legislatívnej úpravy</w:t>
      </w:r>
      <w:bookmarkEnd w:id="5"/>
    </w:p>
    <w:p w14:paraId="10731019" w14:textId="45E9675B" w:rsidR="00D00297" w:rsidRDefault="00D00297" w:rsidP="00AA2878">
      <w:pPr>
        <w:pStyle w:val="Odsekzoznamu"/>
        <w:numPr>
          <w:ilvl w:val="0"/>
          <w:numId w:val="2"/>
        </w:numPr>
        <w:spacing w:after="120"/>
        <w:ind w:left="426" w:hanging="426"/>
        <w:contextualSpacing w:val="0"/>
        <w:jc w:val="both"/>
      </w:pPr>
      <w:r>
        <w:t xml:space="preserve">Ustanovenie </w:t>
      </w:r>
      <w:r w:rsidRPr="00D00297">
        <w:t>§ 25a v spojení s § 3 ods. 1 písm. a) zákona o príspevku z EŠIF zavádza možnosť poskytovania dodatočného príspevku k nenávratnému finančnému príspevku pri dopytovo-orientovaných projektoch.</w:t>
      </w:r>
      <w:r>
        <w:t xml:space="preserve"> Zákon o príspevku z EŠIF rozširuje v § 3 ods. 1 písm. a) definíciu príspevku o dodatočný príspevok, ktorý sa poskytuje k nenávratnému finančnému príspevku alebo podmienečne vratnému finančnému príspevku na realizáciu projektu na základe zmeny zmluvy o poskytnutí NFP, resp. podmienečne vratného finančného príspe</w:t>
      </w:r>
      <w:r w:rsidR="00930987">
        <w:t xml:space="preserve">vku </w:t>
      </w:r>
      <w:r>
        <w:t>pri splnení podmienok osobitných ustanovení k poskytovaniu dodatočného príspevku podľa § 25a.</w:t>
      </w:r>
    </w:p>
    <w:p w14:paraId="262ED9D0" w14:textId="719DA9C0" w:rsidR="00010C1C" w:rsidRDefault="00010C1C" w:rsidP="00AA2878">
      <w:pPr>
        <w:pStyle w:val="Odsekzoznamu"/>
        <w:numPr>
          <w:ilvl w:val="0"/>
          <w:numId w:val="2"/>
        </w:numPr>
        <w:spacing w:after="120"/>
        <w:ind w:left="426" w:hanging="426"/>
        <w:contextualSpacing w:val="0"/>
        <w:jc w:val="both"/>
      </w:pPr>
      <w:r>
        <w:t>Postupy a pravidlá týkajúce sa implementácie dodatočného príspevku v oblasti syst</w:t>
      </w:r>
      <w:r w:rsidR="000D64D2">
        <w:t>ému riadenia sú obsahom podkapitoly</w:t>
      </w:r>
      <w:r>
        <w:t xml:space="preserve"> 2.2 tohto metodického výkladu. </w:t>
      </w:r>
    </w:p>
    <w:p w14:paraId="007BDB6E" w14:textId="2F97E05C" w:rsidR="00010C1C" w:rsidRDefault="00010C1C" w:rsidP="2E560221">
      <w:pPr>
        <w:pStyle w:val="Odsekzoznamu"/>
        <w:numPr>
          <w:ilvl w:val="0"/>
          <w:numId w:val="2"/>
        </w:numPr>
        <w:spacing w:after="120"/>
        <w:ind w:left="426" w:hanging="426"/>
        <w:jc w:val="both"/>
        <w:rPr>
          <w:rFonts w:cs="Arial"/>
        </w:rPr>
      </w:pPr>
      <w:r w:rsidRPr="2E560221">
        <w:rPr>
          <w:rFonts w:cs="Arial"/>
        </w:rPr>
        <w:t>Ministerstvo financií S</w:t>
      </w:r>
      <w:r w:rsidR="0090734F">
        <w:rPr>
          <w:rFonts w:cs="Arial"/>
        </w:rPr>
        <w:t>lovenskej republiky</w:t>
      </w:r>
      <w:r w:rsidR="00CA0381">
        <w:rPr>
          <w:rFonts w:cs="Arial"/>
        </w:rPr>
        <w:t xml:space="preserve"> vydá </w:t>
      </w:r>
      <w:r w:rsidRPr="2E560221">
        <w:rPr>
          <w:rFonts w:cs="Arial"/>
        </w:rPr>
        <w:t>Usmernenie</w:t>
      </w:r>
      <w:r w:rsidR="00CA0381">
        <w:rPr>
          <w:rFonts w:cs="Arial"/>
        </w:rPr>
        <w:t xml:space="preserve"> č. 1/2022-U</w:t>
      </w:r>
      <w:r w:rsidRPr="2E560221">
        <w:rPr>
          <w:rFonts w:cs="Arial"/>
        </w:rPr>
        <w:t xml:space="preserve"> k finančnému riadeniu </w:t>
      </w:r>
      <w:r w:rsidR="00CA0381">
        <w:rPr>
          <w:rFonts w:cs="Arial"/>
        </w:rPr>
        <w:t xml:space="preserve">mechanizmu </w:t>
      </w:r>
      <w:r w:rsidRPr="2E560221">
        <w:rPr>
          <w:rFonts w:cs="Arial"/>
        </w:rPr>
        <w:t>poskytnutia dodatočného príspevku č. 1/2022 (ďalej len „usmernenie k finančnému riadeniu poskytnutia DP“). Cieľom usmernenia k finančnému riadeniu DP je na národnej úrovni zadefinovať postupy a pravidlá finančného riadenia mechanizmu poskytnutia dodatočného príspevku, ak sa riadiaci orgán rozhodne o aplikovaní dodatočného príspevku s potrebou zníženia celkovej alokácie operačného programu na národnej úrovni o výšku prebytku. Riadiaci orgán prijme toto rozhodnutie na základe vykonanej analýzy dostupnosti alokácie pre využitie dodatočného príspevku so zohľadnením reálneho čistého kontrahovania a analýzy možnosti a potreby dodatočného príspevku na úrovni projektov.</w:t>
      </w:r>
    </w:p>
    <w:p w14:paraId="285542B8" w14:textId="77777777" w:rsidR="00D00297" w:rsidRDefault="00D00297" w:rsidP="00AA2878">
      <w:pPr>
        <w:pStyle w:val="Odsekzoznamu"/>
        <w:spacing w:after="0"/>
        <w:ind w:left="426"/>
        <w:contextualSpacing w:val="0"/>
        <w:jc w:val="both"/>
      </w:pPr>
    </w:p>
    <w:p w14:paraId="290EAF70" w14:textId="4C272C97" w:rsidR="00AE173F" w:rsidRDefault="00AE173F" w:rsidP="00AA2878">
      <w:pPr>
        <w:pStyle w:val="MPCKO2"/>
        <w:spacing w:before="0" w:after="240"/>
      </w:pPr>
      <w:bookmarkStart w:id="6" w:name="_Toc107581575"/>
      <w:r>
        <w:t>2.2 Zmeny v</w:t>
      </w:r>
      <w:r w:rsidR="00D00297">
        <w:t> Časti 3 Implementácia operačných programov</w:t>
      </w:r>
      <w:r>
        <w:t> </w:t>
      </w:r>
      <w:r w:rsidR="00E40BD9">
        <w:t>Systému riadenia EŠIF</w:t>
      </w:r>
      <w:bookmarkEnd w:id="6"/>
    </w:p>
    <w:p w14:paraId="54D04699" w14:textId="214A9F8F" w:rsidR="00AE173F" w:rsidRDefault="00D00297" w:rsidP="00AA2878">
      <w:pPr>
        <w:pStyle w:val="Odsekzoznamu"/>
        <w:tabs>
          <w:tab w:val="left" w:pos="426"/>
        </w:tabs>
        <w:spacing w:before="120" w:after="240"/>
        <w:ind w:left="420" w:hanging="420"/>
        <w:contextualSpacing w:val="0"/>
        <w:jc w:val="both"/>
      </w:pPr>
      <w:r>
        <w:t xml:space="preserve">1. </w:t>
      </w:r>
      <w:r>
        <w:tab/>
        <w:t xml:space="preserve">Časť 3 Implementácia operačných programov sa dopĺňa o novú kapitolu </w:t>
      </w:r>
      <w:r w:rsidR="007476D1">
        <w:t xml:space="preserve">3.8 Pravidlá poskytovania dodatočného príspevku, ktorá znie: </w:t>
      </w:r>
    </w:p>
    <w:p w14:paraId="5A2B36D6" w14:textId="37080A76" w:rsidR="007476D1" w:rsidRDefault="007476D1" w:rsidP="00D64ACD">
      <w:pPr>
        <w:pStyle w:val="Odsekzoznamu"/>
        <w:tabs>
          <w:tab w:val="left" w:pos="426"/>
        </w:tabs>
        <w:spacing w:after="0"/>
        <w:ind w:left="0"/>
        <w:contextualSpacing w:val="0"/>
        <w:jc w:val="both"/>
        <w:rPr>
          <w:i/>
        </w:rPr>
      </w:pPr>
      <w:r>
        <w:lastRenderedPageBreak/>
        <w:tab/>
      </w:r>
      <w:r w:rsidRPr="00930987">
        <w:rPr>
          <w:i/>
        </w:rPr>
        <w:t>„3.8 Pravidlá poskytovania dodatočného príspevku</w:t>
      </w:r>
    </w:p>
    <w:p w14:paraId="4A862250" w14:textId="77777777" w:rsidR="00D64ACD" w:rsidRDefault="00D64ACD" w:rsidP="00D64ACD">
      <w:pPr>
        <w:pStyle w:val="Odsekzoznamu"/>
        <w:tabs>
          <w:tab w:val="left" w:pos="426"/>
        </w:tabs>
        <w:spacing w:after="0"/>
        <w:ind w:left="0"/>
        <w:contextualSpacing w:val="0"/>
        <w:jc w:val="both"/>
        <w:rPr>
          <w:i/>
        </w:rPr>
      </w:pPr>
    </w:p>
    <w:p w14:paraId="79925360" w14:textId="5E9BD656" w:rsidR="007476D1" w:rsidRPr="00930987" w:rsidRDefault="007476D1" w:rsidP="00D64ACD">
      <w:pPr>
        <w:pStyle w:val="Odsekzoznamu"/>
        <w:tabs>
          <w:tab w:val="left" w:pos="426"/>
        </w:tabs>
        <w:spacing w:after="0"/>
        <w:ind w:left="426"/>
        <w:jc w:val="both"/>
        <w:rPr>
          <w:i/>
          <w:iCs/>
        </w:rPr>
      </w:pPr>
      <w:r w:rsidRPr="2E560221">
        <w:rPr>
          <w:i/>
          <w:iCs/>
        </w:rPr>
        <w:t xml:space="preserve">1. Táto kapitola upravuje postupy a pravidlá týkajúce sa implementácie dodatočného príspevku v oblasti systému riadenia. Postupy a pravidlá finančného riadenia </w:t>
      </w:r>
      <w:r w:rsidR="00CA0381">
        <w:rPr>
          <w:i/>
          <w:iCs/>
        </w:rPr>
        <w:t xml:space="preserve">upravuje Usmernenie </w:t>
      </w:r>
      <w:r w:rsidR="00CA0381" w:rsidRPr="2E560221">
        <w:rPr>
          <w:i/>
          <w:iCs/>
        </w:rPr>
        <w:t>č. 1/2022 - U</w:t>
      </w:r>
      <w:r w:rsidRPr="2E560221">
        <w:rPr>
          <w:i/>
          <w:iCs/>
        </w:rPr>
        <w:t xml:space="preserve"> k finančnému riadeniu</w:t>
      </w:r>
      <w:r w:rsidR="00CA0381">
        <w:rPr>
          <w:i/>
          <w:iCs/>
        </w:rPr>
        <w:t xml:space="preserve"> mechanizmu</w:t>
      </w:r>
      <w:r w:rsidRPr="2E560221">
        <w:rPr>
          <w:i/>
          <w:iCs/>
        </w:rPr>
        <w:t xml:space="preserve"> poskytnutia doda</w:t>
      </w:r>
      <w:r w:rsidR="00CA0381">
        <w:rPr>
          <w:i/>
          <w:iCs/>
        </w:rPr>
        <w:t>točného príspevku vydané Ministerstvom financií SR</w:t>
      </w:r>
      <w:r w:rsidRPr="2E560221">
        <w:rPr>
          <w:i/>
          <w:iCs/>
        </w:rPr>
        <w:t xml:space="preserve">. </w:t>
      </w:r>
    </w:p>
    <w:p w14:paraId="36F1AF6D" w14:textId="131F2BFE" w:rsidR="007476D1" w:rsidRPr="00930987" w:rsidRDefault="007476D1" w:rsidP="2E560221">
      <w:pPr>
        <w:pStyle w:val="Odsekzoznamu"/>
        <w:tabs>
          <w:tab w:val="left" w:pos="426"/>
        </w:tabs>
        <w:spacing w:after="0"/>
        <w:ind w:left="426"/>
        <w:jc w:val="both"/>
        <w:rPr>
          <w:i/>
          <w:iCs/>
        </w:rPr>
      </w:pPr>
    </w:p>
    <w:p w14:paraId="1EF15FD7" w14:textId="1A9BEAD4" w:rsidR="007476D1" w:rsidRDefault="007476D1" w:rsidP="2E560221">
      <w:pPr>
        <w:pStyle w:val="Odsekzoznamu"/>
        <w:tabs>
          <w:tab w:val="left" w:pos="426"/>
        </w:tabs>
        <w:spacing w:after="0"/>
        <w:ind w:left="426"/>
        <w:jc w:val="both"/>
        <w:rPr>
          <w:i/>
          <w:iCs/>
        </w:rPr>
      </w:pPr>
      <w:r w:rsidRPr="2E560221">
        <w:rPr>
          <w:i/>
          <w:iCs/>
        </w:rPr>
        <w:t>2. Príspevkom sa v zmysle zákona o príspevku z EŠIF rozumie aj dodatočný príspevok, ktorý sa poskytuje k nenávratnému finančnému príspevku alebo podmienečne vratnému finančnému príspevku na realizáciu projektu na základe zmeny zmluvy o NFP, resp. podmienečne vratného finančného príspevku (ďalej</w:t>
      </w:r>
      <w:r w:rsidR="00890575" w:rsidRPr="2E560221">
        <w:rPr>
          <w:i/>
          <w:iCs/>
        </w:rPr>
        <w:t xml:space="preserve"> pre účely tejto kapitoly</w:t>
      </w:r>
      <w:r w:rsidRPr="2E560221">
        <w:rPr>
          <w:i/>
          <w:iCs/>
        </w:rPr>
        <w:t xml:space="preserve"> len „zmluva“) pri splnení podmienok osobitných ustanovení k poskytovaniu dodatočného príspevku podľa § 25a</w:t>
      </w:r>
      <w:r w:rsidR="00930987" w:rsidRPr="2E560221">
        <w:rPr>
          <w:i/>
          <w:iCs/>
        </w:rPr>
        <w:t>.</w:t>
      </w:r>
    </w:p>
    <w:p w14:paraId="6A8C8760" w14:textId="77777777" w:rsidR="0090734F" w:rsidRPr="00930987" w:rsidRDefault="0090734F" w:rsidP="2E560221">
      <w:pPr>
        <w:pStyle w:val="Odsekzoznamu"/>
        <w:tabs>
          <w:tab w:val="left" w:pos="426"/>
        </w:tabs>
        <w:spacing w:after="0"/>
        <w:ind w:left="426"/>
        <w:jc w:val="both"/>
        <w:rPr>
          <w:i/>
          <w:iCs/>
        </w:rPr>
      </w:pPr>
    </w:p>
    <w:p w14:paraId="2B900FCC" w14:textId="6ECBC2A5" w:rsidR="00D14AE9" w:rsidRDefault="00D053A1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>
        <w:rPr>
          <w:i/>
          <w:iCs/>
        </w:rPr>
        <w:t>3.</w:t>
      </w:r>
      <w:r w:rsidR="00930987" w:rsidRPr="2E560221">
        <w:rPr>
          <w:i/>
          <w:iCs/>
        </w:rPr>
        <w:t xml:space="preserve"> </w:t>
      </w:r>
      <w:r w:rsidR="00A53A50" w:rsidRPr="2E560221">
        <w:rPr>
          <w:i/>
          <w:iCs/>
        </w:rPr>
        <w:t>Dodatočný príspevok tvoria finančné prostriedky</w:t>
      </w:r>
      <w:r w:rsidR="006A06E2" w:rsidRPr="2E560221">
        <w:rPr>
          <w:i/>
          <w:iCs/>
        </w:rPr>
        <w:t xml:space="preserve"> členského štátu</w:t>
      </w:r>
      <w:r w:rsidR="00A53A50" w:rsidRPr="2E560221">
        <w:rPr>
          <w:i/>
          <w:iCs/>
        </w:rPr>
        <w:t xml:space="preserve"> získané uplatnením čl. 25a ods. 1 a 1a </w:t>
      </w:r>
      <w:r w:rsidR="00930987" w:rsidRPr="2E560221">
        <w:rPr>
          <w:i/>
          <w:iCs/>
        </w:rPr>
        <w:t>všeobecného nariadenia</w:t>
      </w:r>
      <w:r w:rsidR="00A53A50" w:rsidRPr="2E560221">
        <w:rPr>
          <w:i/>
          <w:iCs/>
        </w:rPr>
        <w:t xml:space="preserve">. V zmysle tohto ustanovenia </w:t>
      </w:r>
      <w:r w:rsidR="00D14AE9" w:rsidRPr="2E560221">
        <w:rPr>
          <w:i/>
          <w:iCs/>
        </w:rPr>
        <w:t xml:space="preserve">SR </w:t>
      </w:r>
      <w:r w:rsidR="00A53A50" w:rsidRPr="2E560221">
        <w:rPr>
          <w:i/>
          <w:iCs/>
        </w:rPr>
        <w:t>pri vybraných priorit</w:t>
      </w:r>
      <w:r w:rsidR="0095362C" w:rsidRPr="2E560221">
        <w:rPr>
          <w:i/>
          <w:iCs/>
        </w:rPr>
        <w:t>ných osiach OP</w:t>
      </w:r>
      <w:r w:rsidR="00A53A50" w:rsidRPr="2E560221">
        <w:rPr>
          <w:i/>
          <w:iCs/>
        </w:rPr>
        <w:t xml:space="preserve"> využíva 100 % financovanie z prostriedkov EÚ v rámci 7. a 8. účtovného roka. Využitím tohto mechanizmu vzniká prebytok prostriedkov EÚ, keďže </w:t>
      </w:r>
      <w:r w:rsidR="00D14AE9" w:rsidRPr="2E560221">
        <w:rPr>
          <w:i/>
          <w:iCs/>
        </w:rPr>
        <w:t>EK</w:t>
      </w:r>
      <w:r w:rsidR="006A06E2" w:rsidRPr="2E560221">
        <w:rPr>
          <w:i/>
          <w:iCs/>
        </w:rPr>
        <w:t xml:space="preserve"> prepláca ŽoP</w:t>
      </w:r>
      <w:r w:rsidR="00A53A50" w:rsidRPr="2E560221">
        <w:rPr>
          <w:i/>
          <w:iCs/>
        </w:rPr>
        <w:t xml:space="preserve"> aj za prostriedky štátneho rozpočtu a vlastné zdroje prijímateľov (ďalej len „prebytok“).</w:t>
      </w:r>
    </w:p>
    <w:p w14:paraId="57AB11E4" w14:textId="77777777" w:rsidR="00E93015" w:rsidRPr="00930987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3EBEB9A7" w14:textId="79D18496" w:rsidR="00D14AE9" w:rsidRDefault="00930987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 w:rsidRPr="2E560221">
        <w:rPr>
          <w:i/>
          <w:iCs/>
        </w:rPr>
        <w:t xml:space="preserve">4. </w:t>
      </w:r>
      <w:r w:rsidR="00F57519" w:rsidRPr="2E560221">
        <w:rPr>
          <w:i/>
          <w:iCs/>
        </w:rPr>
        <w:t>Zdroje podľa odseku 2</w:t>
      </w:r>
      <w:r w:rsidR="00A53A50" w:rsidRPr="2E560221">
        <w:rPr>
          <w:i/>
          <w:iCs/>
        </w:rPr>
        <w:t xml:space="preserve"> je možné využiť na programovej a projektovej úrovni ako dodatočný príspevok na prekonanie hospodárskych dôsledkov pandémie COVID-19 a k</w:t>
      </w:r>
      <w:r w:rsidR="009C1CE9" w:rsidRPr="2E560221">
        <w:rPr>
          <w:i/>
          <w:iCs/>
        </w:rPr>
        <w:t>onfliktu na Ukrajine umožňujúci dofinancovanie</w:t>
      </w:r>
      <w:r w:rsidR="00A53A50" w:rsidRPr="2E560221">
        <w:rPr>
          <w:i/>
          <w:iCs/>
        </w:rPr>
        <w:t xml:space="preserve"> realizácie existu</w:t>
      </w:r>
      <w:r w:rsidR="009C1CE9" w:rsidRPr="2E560221">
        <w:rPr>
          <w:i/>
          <w:iCs/>
        </w:rPr>
        <w:t xml:space="preserve">júcich </w:t>
      </w:r>
      <w:proofErr w:type="spellStart"/>
      <w:r w:rsidR="009C1CE9" w:rsidRPr="2E560221">
        <w:rPr>
          <w:i/>
          <w:iCs/>
        </w:rPr>
        <w:t>zazmluvnených</w:t>
      </w:r>
      <w:proofErr w:type="spellEnd"/>
      <w:r w:rsidR="009C1CE9" w:rsidRPr="2E560221">
        <w:rPr>
          <w:i/>
          <w:iCs/>
        </w:rPr>
        <w:t xml:space="preserve"> projektov.</w:t>
      </w:r>
    </w:p>
    <w:p w14:paraId="75D8773C" w14:textId="77777777" w:rsidR="00E93015" w:rsidRPr="00930987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55E29FFB" w14:textId="06B53E05" w:rsidR="00A53A50" w:rsidRDefault="00930987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 w:rsidRPr="2E560221">
        <w:rPr>
          <w:i/>
          <w:iCs/>
        </w:rPr>
        <w:t xml:space="preserve">5. </w:t>
      </w:r>
      <w:r w:rsidR="00A53A50" w:rsidRPr="2E560221">
        <w:rPr>
          <w:i/>
          <w:iCs/>
        </w:rPr>
        <w:t>Použitie dodatočného príspevku je podmiene</w:t>
      </w:r>
      <w:r w:rsidR="00FF2D11" w:rsidRPr="2E560221">
        <w:rPr>
          <w:i/>
          <w:iCs/>
        </w:rPr>
        <w:t>né rozhodnutím RO</w:t>
      </w:r>
      <w:r w:rsidR="00A53A50" w:rsidRPr="2E560221">
        <w:rPr>
          <w:i/>
          <w:iCs/>
        </w:rPr>
        <w:t xml:space="preserve"> o znížení celkovej alokácie operačného programu na národnej úrovni o výšku prebytku.</w:t>
      </w:r>
    </w:p>
    <w:p w14:paraId="7218EB94" w14:textId="77777777" w:rsidR="00E93015" w:rsidRPr="00930987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1C339047" w14:textId="3A15291A" w:rsidR="00DF61DD" w:rsidRDefault="00930987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 w:rsidRPr="2E560221">
        <w:rPr>
          <w:i/>
          <w:iCs/>
        </w:rPr>
        <w:t xml:space="preserve">6. </w:t>
      </w:r>
      <w:r w:rsidR="00F57519" w:rsidRPr="2E560221">
        <w:rPr>
          <w:i/>
          <w:iCs/>
        </w:rPr>
        <w:t xml:space="preserve">Dodatočný príspevok je komplementárny k už </w:t>
      </w:r>
      <w:proofErr w:type="spellStart"/>
      <w:r w:rsidR="00F57519" w:rsidRPr="2E560221">
        <w:rPr>
          <w:i/>
          <w:iCs/>
        </w:rPr>
        <w:t>zazmluvnenému</w:t>
      </w:r>
      <w:proofErr w:type="spellEnd"/>
      <w:r w:rsidR="00F57519" w:rsidRPr="2E560221">
        <w:rPr>
          <w:i/>
          <w:iCs/>
        </w:rPr>
        <w:t xml:space="preserve"> nenávratnému finančnému prostriedku alebo podmienečne vratnému finančnému prostriedku. </w:t>
      </w:r>
      <w:r w:rsidR="00D23C88" w:rsidRPr="2E560221">
        <w:rPr>
          <w:i/>
          <w:iCs/>
        </w:rPr>
        <w:t>F</w:t>
      </w:r>
      <w:r w:rsidR="006A06E2" w:rsidRPr="2E560221">
        <w:rPr>
          <w:i/>
          <w:iCs/>
        </w:rPr>
        <w:t>inančné prostriedky</w:t>
      </w:r>
      <w:r w:rsidR="00D23C88" w:rsidRPr="2E560221">
        <w:rPr>
          <w:i/>
          <w:iCs/>
        </w:rPr>
        <w:t xml:space="preserve"> v zmysle odseku 2</w:t>
      </w:r>
      <w:r w:rsidR="006A06E2" w:rsidRPr="2E560221">
        <w:rPr>
          <w:i/>
          <w:iCs/>
        </w:rPr>
        <w:t xml:space="preserve"> nepredstavujú nenávratný finančný príspevok alebo podmienečne vratný finančný príspevok, dotáciu ani príslušné spolufinancovanie zo štátneho</w:t>
      </w:r>
      <w:r w:rsidR="00DF61DD" w:rsidRPr="2E560221">
        <w:rPr>
          <w:i/>
          <w:iCs/>
        </w:rPr>
        <w:t xml:space="preserve"> rozpočtu k prostriedkom z rozpočtu EÚ, a preto nepodliehajú auditu zo strany </w:t>
      </w:r>
      <w:r w:rsidR="009C1CE9" w:rsidRPr="2E560221">
        <w:rPr>
          <w:i/>
          <w:iCs/>
        </w:rPr>
        <w:t>OA</w:t>
      </w:r>
      <w:r w:rsidR="00DF61DD" w:rsidRPr="2E560221">
        <w:rPr>
          <w:i/>
          <w:iCs/>
        </w:rPr>
        <w:t xml:space="preserve"> a auditu EK.</w:t>
      </w:r>
    </w:p>
    <w:p w14:paraId="58D69FDD" w14:textId="77777777" w:rsidR="00E93015" w:rsidRPr="00930987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1695B3FB" w14:textId="763AE2F1" w:rsidR="008821FB" w:rsidRDefault="00930987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 w:rsidRPr="2E560221">
        <w:rPr>
          <w:i/>
          <w:iCs/>
        </w:rPr>
        <w:t xml:space="preserve">7. </w:t>
      </w:r>
      <w:r w:rsidR="00852C29" w:rsidRPr="2E560221">
        <w:rPr>
          <w:i/>
          <w:iCs/>
        </w:rPr>
        <w:t xml:space="preserve">Právna úprava rieši </w:t>
      </w:r>
      <w:r w:rsidR="00DF61DD" w:rsidRPr="2E560221">
        <w:rPr>
          <w:i/>
          <w:iCs/>
        </w:rPr>
        <w:t>poskytnutie dodatočného príspevku n</w:t>
      </w:r>
      <w:r w:rsidR="008821FB" w:rsidRPr="2E560221">
        <w:rPr>
          <w:i/>
          <w:iCs/>
        </w:rPr>
        <w:t xml:space="preserve">a úrovni </w:t>
      </w:r>
      <w:proofErr w:type="spellStart"/>
      <w:r w:rsidR="008821FB" w:rsidRPr="2E560221">
        <w:rPr>
          <w:i/>
          <w:iCs/>
        </w:rPr>
        <w:t>zazmluvneného</w:t>
      </w:r>
      <w:proofErr w:type="spellEnd"/>
      <w:r w:rsidR="008821FB" w:rsidRPr="2E560221">
        <w:rPr>
          <w:i/>
          <w:iCs/>
        </w:rPr>
        <w:t xml:space="preserve"> projektu</w:t>
      </w:r>
      <w:r w:rsidR="00E652E5" w:rsidRPr="2E560221">
        <w:rPr>
          <w:i/>
          <w:iCs/>
        </w:rPr>
        <w:t xml:space="preserve"> v etape jeho realizácie.</w:t>
      </w:r>
      <w:r w:rsidR="00F57519" w:rsidRPr="2E560221">
        <w:rPr>
          <w:i/>
          <w:iCs/>
        </w:rPr>
        <w:t xml:space="preserve"> D</w:t>
      </w:r>
      <w:r w:rsidR="00E652E5" w:rsidRPr="2E560221">
        <w:rPr>
          <w:i/>
          <w:iCs/>
        </w:rPr>
        <w:t xml:space="preserve">odatočný príspevok umožňuje zrealizovať projekt v schválenom rozsahu a dosiahnuť ciele projektu tak, ako boli tieto definované v zmluve </w:t>
      </w:r>
      <w:r w:rsidR="00F57519" w:rsidRPr="2E560221">
        <w:rPr>
          <w:i/>
          <w:iCs/>
        </w:rPr>
        <w:t>aj pri zvýšení vstupov vo vzťahu k výdavkom projektu.</w:t>
      </w:r>
    </w:p>
    <w:p w14:paraId="4C212B77" w14:textId="77777777" w:rsidR="00E93015" w:rsidRPr="00930987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04CDE9D2" w14:textId="5E3C90E1" w:rsidR="00E652E5" w:rsidRDefault="00930987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 w:rsidRPr="2E560221">
        <w:rPr>
          <w:i/>
          <w:iCs/>
        </w:rPr>
        <w:t xml:space="preserve">8. </w:t>
      </w:r>
      <w:r w:rsidR="00DF61DD" w:rsidRPr="2E560221">
        <w:rPr>
          <w:i/>
          <w:iCs/>
        </w:rPr>
        <w:t>Zákonná úprava</w:t>
      </w:r>
      <w:r w:rsidR="00E652E5" w:rsidRPr="2E560221">
        <w:rPr>
          <w:i/>
          <w:iCs/>
        </w:rPr>
        <w:t xml:space="preserve"> v § 25a zákona o príspevku z EŠIF</w:t>
      </w:r>
      <w:r w:rsidR="00DF61DD" w:rsidRPr="2E560221">
        <w:rPr>
          <w:i/>
          <w:iCs/>
        </w:rPr>
        <w:t xml:space="preserve"> predstavuje rámec podmienok, ktoré musia byť pre poskytnutie dodatočného príspevku splne</w:t>
      </w:r>
      <w:r w:rsidR="00A02727" w:rsidRPr="2E560221">
        <w:rPr>
          <w:i/>
          <w:iCs/>
        </w:rPr>
        <w:t>né, pričom konkrétny mechanizmus</w:t>
      </w:r>
      <w:r w:rsidR="00B23EBF" w:rsidRPr="2E560221">
        <w:rPr>
          <w:i/>
          <w:iCs/>
        </w:rPr>
        <w:t xml:space="preserve"> a ďalšie</w:t>
      </w:r>
      <w:r w:rsidR="00E7459A" w:rsidRPr="2E560221">
        <w:rPr>
          <w:i/>
          <w:iCs/>
        </w:rPr>
        <w:t xml:space="preserve"> podmienky</w:t>
      </w:r>
      <w:r w:rsidR="00DF61DD" w:rsidRPr="2E560221">
        <w:rPr>
          <w:i/>
          <w:iCs/>
        </w:rPr>
        <w:t xml:space="preserve"> poskytnutia dodatočného príspevku na úrovni konkrétneho operačného programu nastavuje </w:t>
      </w:r>
      <w:r w:rsidR="00D17995" w:rsidRPr="2E560221">
        <w:rPr>
          <w:i/>
          <w:iCs/>
        </w:rPr>
        <w:t xml:space="preserve">RO/SO </w:t>
      </w:r>
      <w:r w:rsidR="00DF61DD" w:rsidRPr="2E560221">
        <w:rPr>
          <w:i/>
          <w:iCs/>
        </w:rPr>
        <w:t xml:space="preserve">v rámci tzv. Právneho dokumentu podľa zmluvy, </w:t>
      </w:r>
      <w:r w:rsidR="0086733D" w:rsidRPr="2E560221">
        <w:rPr>
          <w:i/>
          <w:iCs/>
        </w:rPr>
        <w:t>za striktného dodržiavania princípov</w:t>
      </w:r>
      <w:r w:rsidR="00DF61DD" w:rsidRPr="2E560221">
        <w:rPr>
          <w:i/>
          <w:iCs/>
        </w:rPr>
        <w:t xml:space="preserve"> podľa § 2 ods. 2</w:t>
      </w:r>
      <w:r w:rsidR="00E652E5" w:rsidRPr="2E560221">
        <w:rPr>
          <w:i/>
          <w:iCs/>
        </w:rPr>
        <w:t xml:space="preserve"> zákona o príspevku z EŠIF</w:t>
      </w:r>
      <w:r w:rsidR="00DF61DD" w:rsidRPr="2E560221">
        <w:rPr>
          <w:i/>
          <w:iCs/>
        </w:rPr>
        <w:t>.</w:t>
      </w:r>
      <w:r w:rsidR="00A02727" w:rsidRPr="2E560221">
        <w:rPr>
          <w:i/>
          <w:iCs/>
        </w:rPr>
        <w:t xml:space="preserve"> </w:t>
      </w:r>
    </w:p>
    <w:p w14:paraId="548EECF7" w14:textId="77777777" w:rsidR="00E93015" w:rsidRPr="00F30F74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59CEEA13" w14:textId="28CF8A8F" w:rsidR="00A02727" w:rsidRPr="00CD1FF5" w:rsidRDefault="00B23EBF" w:rsidP="00D64ACD">
      <w:pPr>
        <w:pStyle w:val="Odsekzoznamu"/>
        <w:spacing w:before="120" w:after="120" w:line="240" w:lineRule="auto"/>
        <w:ind w:left="426"/>
        <w:contextualSpacing w:val="0"/>
        <w:jc w:val="both"/>
        <w:rPr>
          <w:i/>
        </w:rPr>
      </w:pPr>
      <w:r w:rsidRPr="00CD1FF5">
        <w:rPr>
          <w:i/>
        </w:rPr>
        <w:t>Ďalšie p</w:t>
      </w:r>
      <w:r w:rsidR="00A02727" w:rsidRPr="00CD1FF5">
        <w:rPr>
          <w:i/>
        </w:rPr>
        <w:t>odmienky poskytnutia dodatočného príspevku</w:t>
      </w:r>
      <w:r w:rsidRPr="00CD1FF5">
        <w:rPr>
          <w:i/>
        </w:rPr>
        <w:t xml:space="preserve"> podľa prvej vety</w:t>
      </w:r>
      <w:r w:rsidR="00A02727" w:rsidRPr="00CD1FF5">
        <w:rPr>
          <w:i/>
        </w:rPr>
        <w:t xml:space="preserve"> zahŕňajú najmä:</w:t>
      </w:r>
    </w:p>
    <w:p w14:paraId="4EADA93F" w14:textId="77777777" w:rsidR="00A02727" w:rsidRPr="00CD1FF5" w:rsidRDefault="00A02727" w:rsidP="00D64ACD">
      <w:pPr>
        <w:pStyle w:val="Odsekzoznamu"/>
        <w:spacing w:before="120" w:after="120" w:line="240" w:lineRule="auto"/>
        <w:ind w:left="426"/>
        <w:contextualSpacing w:val="0"/>
        <w:jc w:val="both"/>
        <w:rPr>
          <w:i/>
        </w:rPr>
      </w:pPr>
      <w:r w:rsidRPr="00CD1FF5">
        <w:rPr>
          <w:i/>
        </w:rPr>
        <w:t>a) sumu alokácie dodatočného príspevku,</w:t>
      </w:r>
    </w:p>
    <w:p w14:paraId="3F68B257" w14:textId="68C34118" w:rsidR="00A02727" w:rsidRPr="00CD1FF5" w:rsidRDefault="00A02727" w:rsidP="00D64ACD">
      <w:pPr>
        <w:pStyle w:val="Odsekzoznamu"/>
        <w:spacing w:before="120" w:after="120" w:line="240" w:lineRule="auto"/>
        <w:ind w:left="426"/>
        <w:contextualSpacing w:val="0"/>
        <w:jc w:val="both"/>
        <w:rPr>
          <w:i/>
        </w:rPr>
      </w:pPr>
      <w:r w:rsidRPr="00CD1FF5">
        <w:rPr>
          <w:i/>
        </w:rPr>
        <w:lastRenderedPageBreak/>
        <w:t>b) identifikáciu úrovne, na ktorej sa poskytuje dodatočný príspevok</w:t>
      </w:r>
      <w:r w:rsidR="00D053A1" w:rsidRPr="00CD1FF5">
        <w:rPr>
          <w:i/>
        </w:rPr>
        <w:t>, so zdôvodnením (najniž</w:t>
      </w:r>
      <w:r w:rsidR="00A04A03" w:rsidRPr="00CD1FF5">
        <w:rPr>
          <w:i/>
        </w:rPr>
        <w:t>šou jednotk</w:t>
      </w:r>
      <w:r w:rsidR="00D053A1" w:rsidRPr="00CD1FF5">
        <w:rPr>
          <w:i/>
        </w:rPr>
        <w:t>ou je hodnotiace kolo výzvy)</w:t>
      </w:r>
      <w:r w:rsidRPr="00CD1FF5">
        <w:rPr>
          <w:i/>
        </w:rPr>
        <w:t>,</w:t>
      </w:r>
    </w:p>
    <w:p w14:paraId="0A084C80" w14:textId="187B1BA5" w:rsidR="00A02727" w:rsidRPr="00F30F74" w:rsidRDefault="00A02727" w:rsidP="00D64ACD">
      <w:pPr>
        <w:pStyle w:val="Odsekzoznamu"/>
        <w:spacing w:before="120" w:after="120" w:line="240" w:lineRule="auto"/>
        <w:ind w:left="426"/>
        <w:contextualSpacing w:val="0"/>
        <w:jc w:val="both"/>
        <w:rPr>
          <w:i/>
        </w:rPr>
      </w:pPr>
      <w:r w:rsidRPr="00CD1FF5">
        <w:rPr>
          <w:i/>
        </w:rPr>
        <w:t>c) maximálnu mieru navýšenia (ak je to</w:t>
      </w:r>
      <w:r w:rsidRPr="00F30F74">
        <w:rPr>
          <w:i/>
        </w:rPr>
        <w:t xml:space="preserve"> relevantné),</w:t>
      </w:r>
    </w:p>
    <w:p w14:paraId="4E9F9DD7" w14:textId="0C0B3B33" w:rsidR="00731D2A" w:rsidRDefault="00A02727" w:rsidP="00D64ACD">
      <w:pPr>
        <w:pStyle w:val="Odsekzoznamu"/>
        <w:spacing w:after="0" w:line="240" w:lineRule="auto"/>
        <w:ind w:left="426"/>
        <w:contextualSpacing w:val="0"/>
        <w:jc w:val="both"/>
        <w:rPr>
          <w:i/>
        </w:rPr>
      </w:pPr>
      <w:r w:rsidRPr="00F30F74">
        <w:rPr>
          <w:i/>
        </w:rPr>
        <w:t>d</w:t>
      </w:r>
      <w:r w:rsidR="00D64ACD">
        <w:rPr>
          <w:i/>
        </w:rPr>
        <w:t xml:space="preserve">) </w:t>
      </w:r>
      <w:r w:rsidRPr="006C2F98">
        <w:rPr>
          <w:i/>
        </w:rPr>
        <w:t>konkrétny mechanizmus posudzovania možnosti poskytnúť dodatočný príspevok v podmienkach daného operačného programu.</w:t>
      </w:r>
    </w:p>
    <w:p w14:paraId="25EAB878" w14:textId="0C3CD28D" w:rsidR="005B324F" w:rsidRDefault="005B324F" w:rsidP="00D64ACD">
      <w:pPr>
        <w:pStyle w:val="Odsekzoznamu"/>
        <w:spacing w:after="0" w:line="240" w:lineRule="auto"/>
        <w:ind w:left="426"/>
        <w:contextualSpacing w:val="0"/>
        <w:jc w:val="both"/>
        <w:rPr>
          <w:i/>
        </w:rPr>
      </w:pPr>
    </w:p>
    <w:p w14:paraId="639E9F2A" w14:textId="77777777" w:rsidR="007164B9" w:rsidRDefault="005B324F" w:rsidP="007164B9">
      <w:pPr>
        <w:pStyle w:val="Odsekzoznamu"/>
        <w:ind w:left="426"/>
        <w:jc w:val="both"/>
        <w:rPr>
          <w:i/>
          <w:iCs/>
        </w:rPr>
      </w:pPr>
      <w:r w:rsidRPr="007164B9">
        <w:rPr>
          <w:i/>
        </w:rPr>
        <w:t xml:space="preserve">9. </w:t>
      </w:r>
      <w:r w:rsidR="007164B9" w:rsidRPr="007164B9">
        <w:rPr>
          <w:i/>
          <w:iCs/>
        </w:rPr>
        <w:t>Ak zvýšenie dohodnutej sumy plnenia poskytovaného dodávateľom v projekte vyplýva z dohody zmluvných strán podľa zmeny zmluvy uzavretej medzi prijímateľom a dodávateľom, ktorá je výsledkom verejného obstarávania/obstarávania, takáto dohoda môže predstavovať splnenie predpokladu uvedeného v § 25a ods. 1 písm. b) zákona o príspevku z EŠIF týkajúceho sa zvýšenia celkových oprávnených výdavkov projektu od nadobudnutia účinnosti takejto zmeny zmluvy.</w:t>
      </w:r>
    </w:p>
    <w:p w14:paraId="20ECFA6B" w14:textId="79EF1251" w:rsidR="00572E32" w:rsidRPr="006C2F98" w:rsidRDefault="00572E32" w:rsidP="00572E32">
      <w:pPr>
        <w:pStyle w:val="Odsekzoznamu"/>
        <w:spacing w:after="0" w:line="240" w:lineRule="auto"/>
        <w:ind w:left="426"/>
        <w:contextualSpacing w:val="0"/>
        <w:jc w:val="both"/>
        <w:rPr>
          <w:i/>
        </w:rPr>
      </w:pPr>
    </w:p>
    <w:p w14:paraId="3347AC30" w14:textId="1CF4C5BE" w:rsidR="00E93015" w:rsidRDefault="00DA422F" w:rsidP="00731D2A">
      <w:pPr>
        <w:pStyle w:val="Odsekzoznamu"/>
        <w:spacing w:after="0"/>
        <w:ind w:left="426"/>
        <w:contextualSpacing w:val="0"/>
        <w:jc w:val="both"/>
        <w:rPr>
          <w:i/>
          <w:iCs/>
        </w:rPr>
      </w:pPr>
      <w:r>
        <w:rPr>
          <w:i/>
          <w:iCs/>
        </w:rPr>
        <w:t>10</w:t>
      </w:r>
      <w:r w:rsidR="00930987" w:rsidRPr="006C2F98">
        <w:rPr>
          <w:i/>
          <w:iCs/>
        </w:rPr>
        <w:t xml:space="preserve">. </w:t>
      </w:r>
      <w:r w:rsidR="00CC5ACD" w:rsidRPr="006C2F98">
        <w:rPr>
          <w:i/>
          <w:iCs/>
        </w:rPr>
        <w:t>Na základe analýzy možnost</w:t>
      </w:r>
      <w:r w:rsidR="009C1CE9" w:rsidRPr="006C2F98">
        <w:rPr>
          <w:i/>
          <w:iCs/>
        </w:rPr>
        <w:t>í</w:t>
      </w:r>
      <w:r w:rsidR="00CC5ACD" w:rsidRPr="006C2F98">
        <w:rPr>
          <w:i/>
          <w:iCs/>
        </w:rPr>
        <w:t xml:space="preserve"> a potreby dodatočného príspevku v rámci implementovaných projektov realizovanej RO možno dodatočný príspevok poskytnúť iba vo vzťahu k tým projektom, u ktorých v čase poskytnutia dodatočného príspevku neexistujú pochybnosti o tom, že dosiahnu cieľ, pre ktorý boli schválené, realizujú sa riadne a nevykazujú žiadne známky fyzickej alebo funkčnej zmeny alebo inej okolnosti, ktoré by bránili v dosiahnutí cieľa projektu podľa zmluvy.</w:t>
      </w:r>
    </w:p>
    <w:p w14:paraId="0D6253F2" w14:textId="50AA6092" w:rsidR="00CC5ACD" w:rsidRPr="00930987" w:rsidRDefault="00CC5ACD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 w:rsidRPr="2E560221">
        <w:rPr>
          <w:i/>
          <w:iCs/>
        </w:rPr>
        <w:t xml:space="preserve"> </w:t>
      </w:r>
    </w:p>
    <w:p w14:paraId="76188A0F" w14:textId="557D443C" w:rsidR="00852994" w:rsidRDefault="00DA422F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>
        <w:rPr>
          <w:i/>
          <w:iCs/>
        </w:rPr>
        <w:t>11</w:t>
      </w:r>
      <w:r w:rsidR="00930987" w:rsidRPr="2E560221">
        <w:rPr>
          <w:i/>
          <w:iCs/>
        </w:rPr>
        <w:t xml:space="preserve">. </w:t>
      </w:r>
      <w:r w:rsidR="00852994" w:rsidRPr="2E560221">
        <w:rPr>
          <w:i/>
          <w:iCs/>
        </w:rPr>
        <w:t xml:space="preserve">Dodatočný príspevok sa musí vzťahovať na nárast výšky výdavkov na hlavné aktivity projektu tak, ako sú uvedené v prílohe č. 2 zmluvy (predmet podpory) a nesmie pokrývať podporné aktivity projektu. </w:t>
      </w:r>
    </w:p>
    <w:p w14:paraId="315268AB" w14:textId="77777777" w:rsidR="00E93015" w:rsidRPr="00930987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757E815D" w14:textId="77C8EBEF" w:rsidR="00FF2D11" w:rsidRDefault="00DA422F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>
        <w:rPr>
          <w:i/>
          <w:iCs/>
        </w:rPr>
        <w:t>12</w:t>
      </w:r>
      <w:r w:rsidR="00930987" w:rsidRPr="2E560221">
        <w:rPr>
          <w:i/>
          <w:iCs/>
        </w:rPr>
        <w:t xml:space="preserve">. </w:t>
      </w:r>
      <w:r w:rsidR="00FB3E79" w:rsidRPr="2E560221">
        <w:rPr>
          <w:i/>
          <w:iCs/>
        </w:rPr>
        <w:t>RO/SO</w:t>
      </w:r>
      <w:r w:rsidR="00DF61DD" w:rsidRPr="2E560221">
        <w:rPr>
          <w:i/>
          <w:iCs/>
        </w:rPr>
        <w:t xml:space="preserve"> musí zabezpečiť, aby podmienky oprávnenosti pre dodatočný príspevok boli z hľadiska ich vecnej oprávnenosti zhodné s podmienkami oprávnenosti výdavkov pre nenávratný finančný príspevok, resp. pre podmienečne vratný finančný príspevok</w:t>
      </w:r>
      <w:r w:rsidR="009C1CE9" w:rsidRPr="2E560221">
        <w:rPr>
          <w:i/>
          <w:iCs/>
        </w:rPr>
        <w:t xml:space="preserve"> podľa príslušnej zmluvy</w:t>
      </w:r>
      <w:r w:rsidR="00DF61DD" w:rsidRPr="2E560221">
        <w:rPr>
          <w:i/>
          <w:iCs/>
        </w:rPr>
        <w:t xml:space="preserve">. </w:t>
      </w:r>
    </w:p>
    <w:p w14:paraId="305C3A36" w14:textId="77777777" w:rsidR="00E93015" w:rsidRPr="00930987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26F696F6" w14:textId="67192536" w:rsidR="0009599E" w:rsidRDefault="00DA422F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>
        <w:rPr>
          <w:i/>
          <w:iCs/>
        </w:rPr>
        <w:t>13</w:t>
      </w:r>
      <w:r w:rsidR="00930987" w:rsidRPr="2E560221">
        <w:rPr>
          <w:i/>
          <w:iCs/>
        </w:rPr>
        <w:t xml:space="preserve">. </w:t>
      </w:r>
      <w:r w:rsidR="00DF61DD" w:rsidRPr="2E560221">
        <w:rPr>
          <w:i/>
          <w:iCs/>
        </w:rPr>
        <w:t>D</w:t>
      </w:r>
      <w:r w:rsidR="0009599E" w:rsidRPr="2E560221">
        <w:rPr>
          <w:i/>
          <w:iCs/>
        </w:rPr>
        <w:t>odatočným príspevkom je možné po</w:t>
      </w:r>
      <w:r w:rsidR="00DF61DD" w:rsidRPr="2E560221">
        <w:rPr>
          <w:i/>
          <w:iCs/>
        </w:rPr>
        <w:t>kryť iba finančný nárast výšky vecne oprávneného výdavku</w:t>
      </w:r>
      <w:r w:rsidR="00D17995" w:rsidRPr="2E560221">
        <w:rPr>
          <w:i/>
          <w:iCs/>
        </w:rPr>
        <w:t>. Dodatočným príspevkom</w:t>
      </w:r>
      <w:r w:rsidR="00DF61DD" w:rsidRPr="2E560221">
        <w:rPr>
          <w:i/>
          <w:iCs/>
        </w:rPr>
        <w:t xml:space="preserve"> nie je možné rozširovať rozsah výdavkov ani dopĺňať </w:t>
      </w:r>
      <w:r w:rsidR="009C1CE9" w:rsidRPr="2E560221">
        <w:rPr>
          <w:i/>
          <w:iCs/>
        </w:rPr>
        <w:t>nové aktivity nad rámec zmluvy.</w:t>
      </w:r>
    </w:p>
    <w:p w14:paraId="348CED60" w14:textId="77777777" w:rsidR="00E93015" w:rsidRPr="00930987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0082F97E" w14:textId="11AF1FAA" w:rsidR="00CC5ACD" w:rsidRPr="00731D2A" w:rsidRDefault="00930987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 w:rsidRPr="00731D2A">
        <w:rPr>
          <w:i/>
          <w:iCs/>
        </w:rPr>
        <w:t>1</w:t>
      </w:r>
      <w:r w:rsidR="00DA422F">
        <w:rPr>
          <w:i/>
          <w:iCs/>
        </w:rPr>
        <w:t>4</w:t>
      </w:r>
      <w:r w:rsidRPr="00731D2A">
        <w:rPr>
          <w:i/>
          <w:iCs/>
        </w:rPr>
        <w:t xml:space="preserve">. </w:t>
      </w:r>
      <w:r w:rsidR="00DF61DD" w:rsidRPr="00731D2A">
        <w:rPr>
          <w:i/>
          <w:iCs/>
        </w:rPr>
        <w:t xml:space="preserve">Poskytnutie dodatočného príspevku </w:t>
      </w:r>
      <w:r w:rsidR="00D8563B" w:rsidRPr="00731D2A">
        <w:rPr>
          <w:i/>
          <w:iCs/>
        </w:rPr>
        <w:t xml:space="preserve">sa musí riadiť princípmi </w:t>
      </w:r>
      <w:r w:rsidR="00DF61DD" w:rsidRPr="00731D2A">
        <w:rPr>
          <w:i/>
          <w:iCs/>
        </w:rPr>
        <w:t xml:space="preserve">hospodárneho, efektívneho, účinného a účelného nakladania s </w:t>
      </w:r>
      <w:r w:rsidR="00CC5ACD" w:rsidRPr="00731D2A">
        <w:rPr>
          <w:i/>
          <w:iCs/>
        </w:rPr>
        <w:t>verejnými prostriedkami. K</w:t>
      </w:r>
      <w:r w:rsidR="00DF61DD" w:rsidRPr="00731D2A">
        <w:rPr>
          <w:i/>
          <w:iCs/>
        </w:rPr>
        <w:t>onečná výška pos</w:t>
      </w:r>
      <w:r w:rsidR="00852C29" w:rsidRPr="00731D2A">
        <w:rPr>
          <w:i/>
          <w:iCs/>
        </w:rPr>
        <w:t xml:space="preserve">kytnutého dodatočného príspevku </w:t>
      </w:r>
      <w:r w:rsidR="00DF61DD" w:rsidRPr="00731D2A">
        <w:rPr>
          <w:i/>
          <w:iCs/>
        </w:rPr>
        <w:t xml:space="preserve">musí zohľadňovať vykonané úspory na jednotlivých položkách existujúceho rozpočtu projektu, prípadné </w:t>
      </w:r>
      <w:r w:rsidR="00D8563B" w:rsidRPr="00731D2A">
        <w:rPr>
          <w:i/>
          <w:iCs/>
        </w:rPr>
        <w:t>prehodnotenie</w:t>
      </w:r>
      <w:r w:rsidR="00DF61DD" w:rsidRPr="00731D2A">
        <w:rPr>
          <w:i/>
          <w:iCs/>
        </w:rPr>
        <w:t xml:space="preserve"> rozpočtu projektu z hľadiska </w:t>
      </w:r>
      <w:r w:rsidR="00D8563B" w:rsidRPr="00731D2A">
        <w:rPr>
          <w:i/>
          <w:iCs/>
        </w:rPr>
        <w:t xml:space="preserve">efektívnosti a účelnosti a </w:t>
      </w:r>
      <w:r w:rsidR="00CC5ACD" w:rsidRPr="00731D2A">
        <w:rPr>
          <w:i/>
          <w:iCs/>
        </w:rPr>
        <w:t>v súlade s princípom hospodárnosti</w:t>
      </w:r>
      <w:r w:rsidR="00DF61DD" w:rsidRPr="00731D2A">
        <w:rPr>
          <w:i/>
          <w:iCs/>
        </w:rPr>
        <w:t xml:space="preserve"> </w:t>
      </w:r>
      <w:r w:rsidR="00D8563B" w:rsidRPr="00731D2A">
        <w:rPr>
          <w:i/>
          <w:iCs/>
        </w:rPr>
        <w:t xml:space="preserve">musí </w:t>
      </w:r>
      <w:r w:rsidR="00DF61DD" w:rsidRPr="00731D2A">
        <w:rPr>
          <w:i/>
          <w:iCs/>
        </w:rPr>
        <w:t>pokrývať skutočné zvýšenie výdavkov projektu zohľadňujúc vstupy od dodávateľov projektu, zmenu všeobecne záväzných právnych predpisov (napr. vo vzťahu k zvýšeniu minimálnej mzdy) a iné objektívne existujúce skutočnosti.</w:t>
      </w:r>
    </w:p>
    <w:p w14:paraId="653A3093" w14:textId="77777777" w:rsidR="0090734F" w:rsidRPr="00731D2A" w:rsidRDefault="0090734F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1D414906" w14:textId="0FCAD751" w:rsidR="00731D2A" w:rsidRDefault="00DA422F" w:rsidP="00731D2A">
      <w:pPr>
        <w:pStyle w:val="Odsekzoznamu"/>
        <w:spacing w:before="120" w:after="120"/>
        <w:ind w:left="426"/>
        <w:jc w:val="both"/>
        <w:rPr>
          <w:i/>
        </w:rPr>
      </w:pPr>
      <w:r>
        <w:rPr>
          <w:i/>
          <w:iCs/>
        </w:rPr>
        <w:t>15</w:t>
      </w:r>
      <w:r w:rsidR="00930987" w:rsidRPr="00731D2A">
        <w:rPr>
          <w:i/>
          <w:iCs/>
        </w:rPr>
        <w:t>.</w:t>
      </w:r>
      <w:r w:rsidR="0090734F" w:rsidRPr="00731D2A">
        <w:rPr>
          <w:i/>
          <w:iCs/>
        </w:rPr>
        <w:t xml:space="preserve"> </w:t>
      </w:r>
      <w:r w:rsidR="0090734F" w:rsidRPr="00731D2A">
        <w:rPr>
          <w:i/>
        </w:rPr>
        <w:t>V prípade, ak má prijímateľ povinnosť použiť vlastné zdroje, každá platba musí byť doplnená zdrojmi prijímateľa v pomere schválenom na projekt, tzn. prostriedky EÚ a štátneho rozpočtu na spolufinancovanie sa preplácajú v rámci projektu na dodatočný príspevok v rovnakom pomere, ako je stanovené v zmluve.</w:t>
      </w:r>
    </w:p>
    <w:p w14:paraId="4A0572DA" w14:textId="77777777" w:rsidR="00731D2A" w:rsidRDefault="00731D2A" w:rsidP="00731D2A">
      <w:pPr>
        <w:pStyle w:val="Odsekzoznamu"/>
        <w:spacing w:before="120" w:after="120"/>
        <w:ind w:left="426"/>
        <w:jc w:val="both"/>
        <w:rPr>
          <w:i/>
        </w:rPr>
      </w:pPr>
    </w:p>
    <w:p w14:paraId="7D686856" w14:textId="2FA918B9" w:rsidR="0009599E" w:rsidRDefault="00731D2A" w:rsidP="00731D2A">
      <w:pPr>
        <w:pStyle w:val="Odsekzoznamu"/>
        <w:spacing w:before="120" w:after="120"/>
        <w:ind w:left="426"/>
        <w:jc w:val="both"/>
        <w:rPr>
          <w:i/>
          <w:iCs/>
        </w:rPr>
      </w:pPr>
      <w:r>
        <w:rPr>
          <w:i/>
          <w:iCs/>
        </w:rPr>
        <w:t>16</w:t>
      </w:r>
      <w:r w:rsidR="00930987" w:rsidRPr="2E560221">
        <w:rPr>
          <w:i/>
          <w:iCs/>
        </w:rPr>
        <w:t xml:space="preserve">. </w:t>
      </w:r>
      <w:r w:rsidR="0009599E" w:rsidRPr="2E560221">
        <w:rPr>
          <w:i/>
          <w:iCs/>
        </w:rPr>
        <w:t>Dodatočný príspevok sa poskytuje na základe zmeny zmluvy podľa príslušných ustanovení o zmene zmluvy</w:t>
      </w:r>
      <w:r w:rsidR="00DF61DD" w:rsidRPr="2E560221">
        <w:rPr>
          <w:i/>
          <w:iCs/>
        </w:rPr>
        <w:t xml:space="preserve"> v</w:t>
      </w:r>
      <w:r w:rsidR="0009599E" w:rsidRPr="2E560221">
        <w:rPr>
          <w:i/>
          <w:iCs/>
        </w:rPr>
        <w:t> </w:t>
      </w:r>
      <w:r w:rsidR="0009599E" w:rsidRPr="00F94905">
        <w:rPr>
          <w:i/>
          <w:iCs/>
        </w:rPr>
        <w:t xml:space="preserve">existujúcej </w:t>
      </w:r>
      <w:r w:rsidR="00DF61DD" w:rsidRPr="00F94905">
        <w:rPr>
          <w:i/>
          <w:iCs/>
        </w:rPr>
        <w:t>zmluve</w:t>
      </w:r>
      <w:r w:rsidRPr="00F94905">
        <w:rPr>
          <w:i/>
          <w:iCs/>
        </w:rPr>
        <w:t xml:space="preserve"> (ide o významnejšiu zmenu, ktorá spočíva </w:t>
      </w:r>
      <w:r w:rsidRPr="00F94905">
        <w:rPr>
          <w:i/>
        </w:rPr>
        <w:t xml:space="preserve">v </w:t>
      </w:r>
      <w:r w:rsidRPr="00F94905">
        <w:rPr>
          <w:bCs/>
          <w:i/>
        </w:rPr>
        <w:t xml:space="preserve">inej zmene, ktorá </w:t>
      </w:r>
      <w:r w:rsidRPr="00F94905">
        <w:rPr>
          <w:bCs/>
          <w:i/>
        </w:rPr>
        <w:lastRenderedPageBreak/>
        <w:t>je ako významnejšia zmena označená</w:t>
      </w:r>
      <w:r w:rsidR="00F94905" w:rsidRPr="00F94905">
        <w:rPr>
          <w:bCs/>
          <w:i/>
        </w:rPr>
        <w:t xml:space="preserve"> v </w:t>
      </w:r>
      <w:r w:rsidRPr="00F94905">
        <w:rPr>
          <w:bCs/>
          <w:i/>
        </w:rPr>
        <w:t>Právnom dokumente)</w:t>
      </w:r>
      <w:r w:rsidR="00DF61DD" w:rsidRPr="00F94905">
        <w:rPr>
          <w:i/>
          <w:iCs/>
        </w:rPr>
        <w:t xml:space="preserve">. </w:t>
      </w:r>
      <w:r w:rsidR="00852994" w:rsidRPr="00F94905">
        <w:rPr>
          <w:i/>
          <w:iCs/>
        </w:rPr>
        <w:t>Mechanizmus</w:t>
      </w:r>
      <w:r w:rsidR="00852994" w:rsidRPr="2E560221">
        <w:rPr>
          <w:i/>
          <w:iCs/>
        </w:rPr>
        <w:t xml:space="preserve"> posudzovania výšky dodatočného príspevku sa realizuje v rámci zmenovej procedúry existujúcej zmluvy</w:t>
      </w:r>
      <w:r>
        <w:rPr>
          <w:i/>
          <w:iCs/>
        </w:rPr>
        <w:t xml:space="preserve"> </w:t>
      </w:r>
      <w:r w:rsidR="00852994" w:rsidRPr="2E560221">
        <w:rPr>
          <w:i/>
          <w:iCs/>
        </w:rPr>
        <w:t xml:space="preserve"> na základe Právneho dokumentu vydaného RO/SO. </w:t>
      </w:r>
      <w:r w:rsidR="00DF61DD" w:rsidRPr="2E560221">
        <w:rPr>
          <w:i/>
          <w:iCs/>
        </w:rPr>
        <w:t xml:space="preserve">Výsledkom zmenovej procedúry je písomný dodatok k zmluve. </w:t>
      </w:r>
      <w:r w:rsidR="00D86331" w:rsidRPr="00D86331">
        <w:rPr>
          <w:i/>
          <w:iCs/>
        </w:rPr>
        <w:t>Minimálne náležitosti písomného dodatku k zmluve vo vzťahu k poskytnutiu a používaniu dodatočného príspevku a s tým súvisiacim právam a povinnostiam poskytovateľa a</w:t>
      </w:r>
      <w:r w:rsidR="00D86331">
        <w:rPr>
          <w:i/>
          <w:iCs/>
        </w:rPr>
        <w:t> </w:t>
      </w:r>
      <w:r w:rsidR="00D86331" w:rsidRPr="00D86331">
        <w:rPr>
          <w:i/>
          <w:iCs/>
        </w:rPr>
        <w:t>prijímateľa</w:t>
      </w:r>
      <w:r w:rsidR="00D86331">
        <w:rPr>
          <w:i/>
          <w:iCs/>
        </w:rPr>
        <w:t xml:space="preserve"> sú predmetom Prílohy č. 1 tohto metodického výkladu</w:t>
      </w:r>
      <w:r w:rsidR="00D86331" w:rsidRPr="00D86331">
        <w:rPr>
          <w:i/>
          <w:iCs/>
        </w:rPr>
        <w:t>.</w:t>
      </w:r>
    </w:p>
    <w:p w14:paraId="60FF9A8E" w14:textId="77777777" w:rsidR="00E93015" w:rsidRPr="00930987" w:rsidRDefault="00E93015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1DC3F927" w14:textId="0590A120" w:rsidR="00FC2831" w:rsidRPr="00380D32" w:rsidRDefault="00930987" w:rsidP="2E560221">
      <w:pPr>
        <w:pStyle w:val="Odsekzoznamu"/>
        <w:spacing w:before="120" w:after="120"/>
        <w:ind w:left="426"/>
        <w:jc w:val="both"/>
        <w:rPr>
          <w:i/>
          <w:iCs/>
        </w:rPr>
      </w:pPr>
      <w:r w:rsidRPr="2E560221">
        <w:rPr>
          <w:i/>
          <w:iCs/>
        </w:rPr>
        <w:t>1</w:t>
      </w:r>
      <w:r w:rsidR="00731D2A">
        <w:rPr>
          <w:i/>
          <w:iCs/>
        </w:rPr>
        <w:t>7</w:t>
      </w:r>
      <w:r w:rsidRPr="2E560221">
        <w:rPr>
          <w:i/>
          <w:iCs/>
        </w:rPr>
        <w:t xml:space="preserve">. </w:t>
      </w:r>
      <w:r w:rsidR="0009599E" w:rsidRPr="2E560221">
        <w:rPr>
          <w:i/>
          <w:iCs/>
        </w:rPr>
        <w:t xml:space="preserve">Na základe </w:t>
      </w:r>
      <w:r w:rsidR="00D4645F" w:rsidRPr="2E560221">
        <w:rPr>
          <w:i/>
          <w:iCs/>
        </w:rPr>
        <w:t xml:space="preserve">mechanizmu </w:t>
      </w:r>
      <w:r w:rsidR="0009599E" w:rsidRPr="2E560221">
        <w:rPr>
          <w:i/>
          <w:iCs/>
        </w:rPr>
        <w:t>poskytnutia dodatočného príspevku</w:t>
      </w:r>
      <w:r w:rsidR="00FC2831" w:rsidRPr="2E560221">
        <w:rPr>
          <w:i/>
          <w:iCs/>
        </w:rPr>
        <w:t xml:space="preserve"> </w:t>
      </w:r>
      <w:r w:rsidR="00D4645F" w:rsidRPr="2E560221">
        <w:rPr>
          <w:i/>
          <w:iCs/>
        </w:rPr>
        <w:t>prostredníctvom</w:t>
      </w:r>
      <w:r w:rsidR="00FC2831" w:rsidRPr="2E560221">
        <w:rPr>
          <w:i/>
          <w:iCs/>
        </w:rPr>
        <w:t xml:space="preserve"> zmeny </w:t>
      </w:r>
      <w:r w:rsidR="0009599E" w:rsidRPr="2E560221">
        <w:rPr>
          <w:i/>
          <w:iCs/>
        </w:rPr>
        <w:t>zmluvy sa neuplatňujú ustanovenia zákona o príspevku EŠIF týkajúce sa konania o žiadosti</w:t>
      </w:r>
      <w:r w:rsidR="00470175" w:rsidRPr="2E560221">
        <w:rPr>
          <w:i/>
          <w:iCs/>
        </w:rPr>
        <w:t xml:space="preserve"> (s výnimk</w:t>
      </w:r>
      <w:r w:rsidR="00F71B81" w:rsidRPr="2E560221">
        <w:rPr>
          <w:i/>
          <w:iCs/>
        </w:rPr>
        <w:t xml:space="preserve">ou § </w:t>
      </w:r>
      <w:r w:rsidR="00F71B81" w:rsidRPr="00380D32">
        <w:rPr>
          <w:i/>
          <w:iCs/>
        </w:rPr>
        <w:t>16 ods. 5 až 7 zákona o príspevku z EŠIF</w:t>
      </w:r>
      <w:r w:rsidR="00470175" w:rsidRPr="00380D32">
        <w:rPr>
          <w:i/>
          <w:iCs/>
        </w:rPr>
        <w:t>)</w:t>
      </w:r>
      <w:r w:rsidR="0009599E" w:rsidRPr="00380D32">
        <w:rPr>
          <w:i/>
          <w:iCs/>
        </w:rPr>
        <w:t>, keďže RO/SO</w:t>
      </w:r>
      <w:r w:rsidR="00D4645F" w:rsidRPr="00380D32">
        <w:rPr>
          <w:i/>
          <w:iCs/>
        </w:rPr>
        <w:t xml:space="preserve"> vystupuje pri tomto právnom úkone v pozícii zmluvnej strany, </w:t>
      </w:r>
      <w:r w:rsidR="00FC2831" w:rsidRPr="00380D32">
        <w:rPr>
          <w:i/>
          <w:iCs/>
        </w:rPr>
        <w:t xml:space="preserve">nie ako správny orgán. </w:t>
      </w:r>
    </w:p>
    <w:p w14:paraId="3C09F951" w14:textId="77777777" w:rsidR="00731D2A" w:rsidRPr="00380D32" w:rsidRDefault="00731D2A" w:rsidP="00731D2A">
      <w:pPr>
        <w:pStyle w:val="Odsekzoznamu"/>
        <w:spacing w:after="0"/>
        <w:ind w:left="426"/>
        <w:jc w:val="both"/>
        <w:rPr>
          <w:i/>
        </w:rPr>
      </w:pPr>
    </w:p>
    <w:p w14:paraId="7DF3341A" w14:textId="62B53A36" w:rsidR="00731D2A" w:rsidRDefault="00731D2A" w:rsidP="00731D2A">
      <w:pPr>
        <w:spacing w:after="0"/>
        <w:ind w:left="426"/>
        <w:jc w:val="both"/>
        <w:rPr>
          <w:i/>
        </w:rPr>
      </w:pPr>
      <w:r w:rsidRPr="00380D32">
        <w:rPr>
          <w:i/>
        </w:rPr>
        <w:t>18. Možnosť zmeny zmluvy podľa bodu 16 bude posudzovaná na základe Analýzy vývoja cien vybraných komodít a stavebných materiálov so zdôvodnením nepredvídateľných zmien vypracovanej Ministerstvom dopravy a výstavby Slovenskej republiky za sledované obdobie rokov 2005 – 2022 vo vzťahu k mimoriadnym okolnostiam, ktoré nastali alebo môžu nastať</w:t>
      </w:r>
      <w:r w:rsidR="00A96458" w:rsidRPr="00380D32">
        <w:rPr>
          <w:i/>
        </w:rPr>
        <w:t>,</w:t>
      </w:r>
      <w:r w:rsidRPr="00380D32">
        <w:rPr>
          <w:i/>
        </w:rPr>
        <w:t xml:space="preserve"> a ktoré vo výraznej miere ovplyvňujú dosiahnutie cieľov projektu tak, ako boli definované v zmluve.</w:t>
      </w:r>
    </w:p>
    <w:p w14:paraId="618ADB15" w14:textId="77777777" w:rsidR="00731D2A" w:rsidRDefault="00731D2A" w:rsidP="00731D2A">
      <w:pPr>
        <w:spacing w:after="0"/>
        <w:ind w:left="426"/>
        <w:jc w:val="both"/>
        <w:rPr>
          <w:i/>
        </w:rPr>
      </w:pPr>
    </w:p>
    <w:p w14:paraId="29F5401C" w14:textId="320A823E" w:rsidR="00731D2A" w:rsidRDefault="00930987" w:rsidP="00731D2A">
      <w:pPr>
        <w:spacing w:after="0"/>
        <w:ind w:left="426"/>
        <w:jc w:val="both"/>
        <w:rPr>
          <w:i/>
          <w:iCs/>
        </w:rPr>
      </w:pPr>
      <w:r w:rsidRPr="2E560221">
        <w:rPr>
          <w:i/>
          <w:iCs/>
        </w:rPr>
        <w:t>1</w:t>
      </w:r>
      <w:r w:rsidR="00731D2A">
        <w:rPr>
          <w:i/>
          <w:iCs/>
        </w:rPr>
        <w:t>9</w:t>
      </w:r>
      <w:r w:rsidRPr="2E560221">
        <w:rPr>
          <w:i/>
          <w:iCs/>
        </w:rPr>
        <w:t xml:space="preserve">. </w:t>
      </w:r>
      <w:r w:rsidR="00DF61DD" w:rsidRPr="2E560221">
        <w:rPr>
          <w:i/>
          <w:iCs/>
        </w:rPr>
        <w:t>Poskytnutie dodatočného príspevku musí v plnej miere rešpektovať osobitné predpisy, najmä konkrétne obmedzenia a podmienky týkajúce sa možnosti z</w:t>
      </w:r>
      <w:r w:rsidR="00A05843" w:rsidRPr="2E560221">
        <w:rPr>
          <w:i/>
          <w:iCs/>
        </w:rPr>
        <w:t>meny zmluvy o </w:t>
      </w:r>
      <w:proofErr w:type="spellStart"/>
      <w:r w:rsidR="00A05843" w:rsidRPr="2E560221">
        <w:rPr>
          <w:i/>
          <w:iCs/>
        </w:rPr>
        <w:t>dodávateľsko</w:t>
      </w:r>
      <w:proofErr w:type="spellEnd"/>
      <w:r w:rsidR="00A05843" w:rsidRPr="2E560221">
        <w:rPr>
          <w:i/>
          <w:iCs/>
        </w:rPr>
        <w:t xml:space="preserve"> – odberateľských vzťahoch vo vzťahu k zvýšeniu</w:t>
      </w:r>
      <w:r w:rsidR="00DF61DD" w:rsidRPr="2E560221">
        <w:rPr>
          <w:i/>
          <w:iCs/>
        </w:rPr>
        <w:t xml:space="preserve"> ceny diela, ceny pl</w:t>
      </w:r>
      <w:r w:rsidR="00660428">
        <w:rPr>
          <w:i/>
          <w:iCs/>
        </w:rPr>
        <w:t>nenia a podobne vyplývajúce zo z</w:t>
      </w:r>
      <w:r w:rsidR="00DF61DD" w:rsidRPr="2E560221">
        <w:rPr>
          <w:i/>
          <w:iCs/>
        </w:rPr>
        <w:t>ákona č. 343/2015 Z. z. o verejnom obstarávaní</w:t>
      </w:r>
      <w:r w:rsidR="006C5ACB" w:rsidRPr="2E560221">
        <w:rPr>
          <w:i/>
          <w:iCs/>
        </w:rPr>
        <w:t xml:space="preserve"> a o zmene a doplnení niektorých zákonov</w:t>
      </w:r>
      <w:r w:rsidR="00470175" w:rsidRPr="2E560221">
        <w:rPr>
          <w:i/>
          <w:iCs/>
        </w:rPr>
        <w:t xml:space="preserve">, ako aj </w:t>
      </w:r>
      <w:r w:rsidR="002F2A85" w:rsidRPr="2E560221">
        <w:rPr>
          <w:i/>
          <w:iCs/>
        </w:rPr>
        <w:t>dodržanie ostatných zákonov a usmernení (napr. Všeobecné metodické usmernenie Úradu pre verejné obstarávanie k aplikácii § 18 ods. 1 písm. c) zákona c. 343/2015 Z. z. o verejnom obstarávaní a o zmene a doplnení niektorých zákonov zo dňa 16. 5. 2022)</w:t>
      </w:r>
      <w:r w:rsidR="00470175" w:rsidRPr="2E560221">
        <w:rPr>
          <w:i/>
          <w:iCs/>
        </w:rPr>
        <w:t>.</w:t>
      </w:r>
    </w:p>
    <w:p w14:paraId="19BE7996" w14:textId="77777777" w:rsidR="00731D2A" w:rsidRDefault="00731D2A" w:rsidP="00731D2A">
      <w:pPr>
        <w:spacing w:after="0"/>
        <w:ind w:left="426"/>
        <w:jc w:val="both"/>
        <w:rPr>
          <w:i/>
          <w:iCs/>
        </w:rPr>
      </w:pPr>
    </w:p>
    <w:p w14:paraId="75343988" w14:textId="356CA181" w:rsidR="00CC5DCC" w:rsidRPr="006E2019" w:rsidRDefault="00731D2A" w:rsidP="00731D2A">
      <w:pPr>
        <w:spacing w:after="0"/>
        <w:ind w:left="426"/>
        <w:jc w:val="both"/>
        <w:rPr>
          <w:i/>
          <w:iCs/>
        </w:rPr>
      </w:pPr>
      <w:r>
        <w:rPr>
          <w:i/>
          <w:iCs/>
        </w:rPr>
        <w:t>20</w:t>
      </w:r>
      <w:r w:rsidR="00930987" w:rsidRPr="2E560221">
        <w:rPr>
          <w:i/>
          <w:iCs/>
        </w:rPr>
        <w:t xml:space="preserve">. </w:t>
      </w:r>
      <w:r w:rsidR="00CC5DCC" w:rsidRPr="2E560221">
        <w:rPr>
          <w:i/>
          <w:iCs/>
        </w:rPr>
        <w:t>Poskytnutie d</w:t>
      </w:r>
      <w:r w:rsidR="008765F4" w:rsidRPr="2E560221">
        <w:rPr>
          <w:i/>
          <w:iCs/>
        </w:rPr>
        <w:t>odatočného príspevku v prípade</w:t>
      </w:r>
      <w:r w:rsidR="00CC5DCC" w:rsidRPr="2E560221">
        <w:rPr>
          <w:i/>
          <w:iCs/>
        </w:rPr>
        <w:t xml:space="preserve"> projektov, v ktorých je príspevok súčasne pomocou, resp. pomocou de minimis, je viazané na vykonanie vyhodnotenia v rámci nastavenia mechanizmu poskytnutia dodatočného príspevku </w:t>
      </w:r>
      <w:r w:rsidR="005D4DCD" w:rsidRPr="2E560221">
        <w:rPr>
          <w:i/>
          <w:iCs/>
        </w:rPr>
        <w:t xml:space="preserve">zo strany </w:t>
      </w:r>
      <w:r w:rsidR="00CC5DCC" w:rsidRPr="2E560221">
        <w:rPr>
          <w:i/>
          <w:iCs/>
        </w:rPr>
        <w:t xml:space="preserve">RO/SO podľa podmienok príslušnej schémy pomoci, resp. schémy pomoci de minimis, prípadne iného právneho základu pre </w:t>
      </w:r>
      <w:r w:rsidR="00CC5DCC" w:rsidRPr="006E2019">
        <w:rPr>
          <w:i/>
          <w:iCs/>
        </w:rPr>
        <w:t xml:space="preserve">poskytnutie </w:t>
      </w:r>
      <w:r w:rsidR="00CD1FF5">
        <w:rPr>
          <w:i/>
          <w:iCs/>
        </w:rPr>
        <w:t>pomoci alebo pomoci de minimis.</w:t>
      </w:r>
    </w:p>
    <w:p w14:paraId="6F1BE844" w14:textId="15673752" w:rsidR="00C817E8" w:rsidRPr="006E2019" w:rsidRDefault="00C817E8" w:rsidP="00731D2A">
      <w:pPr>
        <w:spacing w:after="0"/>
        <w:ind w:left="426"/>
        <w:jc w:val="both"/>
        <w:rPr>
          <w:i/>
          <w:iCs/>
        </w:rPr>
      </w:pPr>
    </w:p>
    <w:p w14:paraId="33C1F352" w14:textId="1843F738" w:rsidR="00C817E8" w:rsidRDefault="00C817E8" w:rsidP="00731D2A">
      <w:pPr>
        <w:spacing w:after="0"/>
        <w:ind w:left="426"/>
        <w:jc w:val="both"/>
        <w:rPr>
          <w:i/>
          <w:iCs/>
        </w:rPr>
      </w:pPr>
      <w:r w:rsidRPr="00CD1FF5">
        <w:rPr>
          <w:i/>
          <w:iCs/>
        </w:rPr>
        <w:t>21. Postupy a činnosti spojené s poskytovaním dodatočného príspevku vo vzťahu k ITMS2014+ bud</w:t>
      </w:r>
      <w:r w:rsidR="006E2019" w:rsidRPr="00CD1FF5">
        <w:rPr>
          <w:i/>
          <w:iCs/>
        </w:rPr>
        <w:t>ú</w:t>
      </w:r>
      <w:r w:rsidRPr="00CD1FF5">
        <w:rPr>
          <w:i/>
          <w:iCs/>
        </w:rPr>
        <w:t xml:space="preserve"> predmetom</w:t>
      </w:r>
      <w:r w:rsidR="00CD1FF5" w:rsidRPr="00CD1FF5">
        <w:rPr>
          <w:i/>
          <w:iCs/>
        </w:rPr>
        <w:t xml:space="preserve"> samostatného</w:t>
      </w:r>
      <w:r w:rsidR="006E2019" w:rsidRPr="00CD1FF5">
        <w:rPr>
          <w:i/>
          <w:iCs/>
        </w:rPr>
        <w:t xml:space="preserve"> usme</w:t>
      </w:r>
      <w:r w:rsidR="00CD1FF5" w:rsidRPr="00CD1FF5">
        <w:rPr>
          <w:i/>
          <w:iCs/>
        </w:rPr>
        <w:t>rnenia</w:t>
      </w:r>
      <w:r w:rsidR="00CD1FF5">
        <w:rPr>
          <w:i/>
          <w:iCs/>
        </w:rPr>
        <w:t xml:space="preserve"> vydaného v súlade s kapitolou 1.2 ods. 3 písm. e) Systému riadenia EŠIF</w:t>
      </w:r>
      <w:r w:rsidR="006E2019" w:rsidRPr="00CD1FF5">
        <w:rPr>
          <w:i/>
          <w:iCs/>
        </w:rPr>
        <w:t>.</w:t>
      </w:r>
      <w:r w:rsidR="00CD1FF5" w:rsidRPr="00CD1FF5">
        <w:rPr>
          <w:i/>
          <w:iCs/>
        </w:rPr>
        <w:t>“</w:t>
      </w:r>
    </w:p>
    <w:p w14:paraId="10AFA2D9" w14:textId="77777777" w:rsidR="004F36D4" w:rsidRPr="00930987" w:rsidRDefault="004F36D4" w:rsidP="2E560221">
      <w:pPr>
        <w:pStyle w:val="Odsekzoznamu"/>
        <w:spacing w:before="120" w:after="120"/>
        <w:ind w:left="426"/>
        <w:jc w:val="both"/>
        <w:rPr>
          <w:i/>
          <w:iCs/>
        </w:rPr>
      </w:pPr>
    </w:p>
    <w:p w14:paraId="4CFDC922" w14:textId="7C7452A9" w:rsidR="007A65F5" w:rsidRDefault="00C1517F" w:rsidP="007A65F5">
      <w:pPr>
        <w:pStyle w:val="MPCKO1"/>
        <w:tabs>
          <w:tab w:val="left" w:pos="567"/>
        </w:tabs>
        <w:jc w:val="both"/>
      </w:pPr>
      <w:bookmarkStart w:id="7" w:name="_Toc107581576"/>
      <w:r>
        <w:lastRenderedPageBreak/>
        <w:t>3</w:t>
      </w:r>
      <w:r w:rsidR="007A65F5">
        <w:tab/>
        <w:t xml:space="preserve"> Inštitút zásobníka projektov pri projektoch technickej pomoci</w:t>
      </w:r>
      <w:bookmarkEnd w:id="7"/>
    </w:p>
    <w:p w14:paraId="7D8E89E4" w14:textId="275FF3DF" w:rsidR="008A72BD" w:rsidRDefault="008A72BD" w:rsidP="008A72BD">
      <w:pPr>
        <w:pStyle w:val="MPCKO2"/>
      </w:pPr>
      <w:bookmarkStart w:id="8" w:name="_Toc107581577"/>
      <w:r w:rsidRPr="007366EE">
        <w:t xml:space="preserve">3.1 </w:t>
      </w:r>
      <w:r>
        <w:t>Popis legislatívnej úpravy</w:t>
      </w:r>
      <w:bookmarkEnd w:id="8"/>
    </w:p>
    <w:p w14:paraId="271B7081" w14:textId="77777777" w:rsidR="008A72BD" w:rsidRPr="007366EE" w:rsidRDefault="008A72BD" w:rsidP="008A72BD">
      <w:pPr>
        <w:pStyle w:val="MPCKO2"/>
      </w:pPr>
    </w:p>
    <w:p w14:paraId="3CD4AD7D" w14:textId="7189221B" w:rsidR="0061627B" w:rsidRDefault="008A72BD" w:rsidP="008A72BD">
      <w:pPr>
        <w:ind w:left="426" w:hanging="426"/>
        <w:jc w:val="both"/>
      </w:pPr>
      <w:r>
        <w:t>1.</w:t>
      </w:r>
      <w:r>
        <w:tab/>
      </w:r>
      <w:r w:rsidR="0061627B">
        <w:t>Právna úprava zákona o príspevku z EŠIF v § 28 ods. 5 umožňuje zmeniť rozhodnutie o neschválení žiadosti v prípade projektov technickej pomoci na rozhodnutie o jej schválení za zákonom vymedzených podmienok. Táto legislatívna zmena zjednodušuje prípravu a schvaľovanie projektov technickej pomoci a prispieva k odstraňovaniu administratívnej záťaže.</w:t>
      </w:r>
    </w:p>
    <w:p w14:paraId="59F269CC" w14:textId="49CA6174" w:rsidR="008A72BD" w:rsidRDefault="008A72BD" w:rsidP="0060100F">
      <w:pPr>
        <w:pStyle w:val="MPCKO2"/>
        <w:spacing w:before="0"/>
      </w:pPr>
      <w:bookmarkStart w:id="9" w:name="_Toc12860228"/>
      <w:bookmarkStart w:id="10" w:name="_Toc107581578"/>
      <w:r>
        <w:t>3.2</w:t>
      </w:r>
      <w:r w:rsidRPr="007366EE">
        <w:t xml:space="preserve"> Zmeny v kapitole</w:t>
      </w:r>
      <w:r>
        <w:t xml:space="preserve"> 3.4.3. Projekty technickej pomoci</w:t>
      </w:r>
      <w:bookmarkEnd w:id="9"/>
      <w:r>
        <w:t xml:space="preserve"> Systému riadenia EŠIF</w:t>
      </w:r>
      <w:bookmarkEnd w:id="10"/>
    </w:p>
    <w:p w14:paraId="37C06A5B" w14:textId="77777777" w:rsidR="0060100F" w:rsidRDefault="008A72BD" w:rsidP="0060100F">
      <w:pPr>
        <w:spacing w:after="0"/>
        <w:jc w:val="both"/>
      </w:pPr>
      <w:r>
        <w:t xml:space="preserve"> </w:t>
      </w:r>
    </w:p>
    <w:p w14:paraId="0662CBFC" w14:textId="56520792" w:rsidR="008A72BD" w:rsidRDefault="0060100F" w:rsidP="0060100F">
      <w:pPr>
        <w:spacing w:after="0"/>
        <w:jc w:val="both"/>
        <w:rPr>
          <w:bCs/>
          <w:iCs/>
        </w:rPr>
      </w:pPr>
      <w:r>
        <w:rPr>
          <w:bCs/>
          <w:iCs/>
        </w:rPr>
        <w:t>1.</w:t>
      </w:r>
      <w:r>
        <w:rPr>
          <w:bCs/>
          <w:iCs/>
        </w:rPr>
        <w:tab/>
        <w:t>Kapitola 3.4.3. Systému riadenia EŠIF sa dopĺňa o</w:t>
      </w:r>
      <w:r w:rsidR="004B6BC3">
        <w:rPr>
          <w:bCs/>
          <w:iCs/>
        </w:rPr>
        <w:t> </w:t>
      </w:r>
      <w:r>
        <w:rPr>
          <w:bCs/>
          <w:iCs/>
        </w:rPr>
        <w:t>nov</w:t>
      </w:r>
      <w:r w:rsidR="004B6BC3">
        <w:rPr>
          <w:bCs/>
          <w:iCs/>
        </w:rPr>
        <w:t>é odseky 6 až 9</w:t>
      </w:r>
      <w:r>
        <w:rPr>
          <w:bCs/>
          <w:iCs/>
        </w:rPr>
        <w:t>, ktor</w:t>
      </w:r>
      <w:r w:rsidR="004B6BC3">
        <w:rPr>
          <w:bCs/>
          <w:iCs/>
        </w:rPr>
        <w:t>é znejú</w:t>
      </w:r>
      <w:r>
        <w:rPr>
          <w:bCs/>
          <w:iCs/>
        </w:rPr>
        <w:t>:</w:t>
      </w:r>
    </w:p>
    <w:p w14:paraId="6B0156E5" w14:textId="2664977D" w:rsidR="0060100F" w:rsidRDefault="0060100F" w:rsidP="008C453A">
      <w:pPr>
        <w:spacing w:after="0"/>
        <w:ind w:left="-142" w:hanging="426"/>
        <w:jc w:val="both"/>
        <w:rPr>
          <w:bCs/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</w:p>
    <w:p w14:paraId="3D0F5A0A" w14:textId="1C1C959D" w:rsidR="0098250E" w:rsidRPr="00F547A4" w:rsidRDefault="0060100F" w:rsidP="008C453A">
      <w:pPr>
        <w:tabs>
          <w:tab w:val="left" w:pos="0"/>
        </w:tabs>
        <w:spacing w:after="0"/>
        <w:ind w:left="426" w:hanging="426"/>
        <w:jc w:val="both"/>
        <w:rPr>
          <w:bCs/>
          <w:i/>
          <w:iCs/>
        </w:rPr>
      </w:pPr>
      <w:r>
        <w:rPr>
          <w:bCs/>
          <w:iCs/>
        </w:rPr>
        <w:tab/>
      </w:r>
      <w:r w:rsidR="0098250E" w:rsidRPr="00F547A4">
        <w:rPr>
          <w:bCs/>
          <w:iCs/>
        </w:rPr>
        <w:t>„</w:t>
      </w:r>
      <w:r w:rsidRPr="00F547A4">
        <w:rPr>
          <w:bCs/>
          <w:i/>
          <w:iCs/>
        </w:rPr>
        <w:t xml:space="preserve">6. </w:t>
      </w:r>
      <w:r w:rsidR="0098250E" w:rsidRPr="00F547A4">
        <w:rPr>
          <w:bCs/>
          <w:i/>
          <w:iCs/>
        </w:rPr>
        <w:t>RO je oprávnený vo vyzvaní určiť, že v prípade rozhodnutia o neschválení ŽoNFP, ktoré bolo vydané len z dôvodu vyčerpania finančných prostriedkov určených na vyzvanie môže byť takéto rozhodnutie o neschválení zmenené v konaní podľa ustanovenia § 28 ods. 5 zákona o príspevku z EŠIF (zásobník projektov pri projektoch technickej pomoci). Využitie zásobníka projektov je na výlučnom rozhodnutí RO. Z uvedeného dôvodu aj v prípade, ak RO vytvoril zásobník projektov a dodatočne získa finančné prostriedky na financovanie takýchto projektov je RO oprávnený nevyužiť inštitút zásobníka projektov a vyhlásiť nové vyzvanie.</w:t>
      </w:r>
    </w:p>
    <w:p w14:paraId="0FA47272" w14:textId="77777777" w:rsidR="00E266E0" w:rsidRPr="00F547A4" w:rsidRDefault="00E266E0" w:rsidP="00E266E0">
      <w:pPr>
        <w:tabs>
          <w:tab w:val="left" w:pos="0"/>
        </w:tabs>
        <w:spacing w:after="0"/>
        <w:ind w:left="426" w:hanging="426"/>
        <w:jc w:val="both"/>
        <w:rPr>
          <w:bCs/>
          <w:i/>
          <w:iCs/>
        </w:rPr>
      </w:pPr>
    </w:p>
    <w:p w14:paraId="50C593DA" w14:textId="77777777" w:rsidR="0098250E" w:rsidRPr="00F547A4" w:rsidRDefault="0098250E" w:rsidP="00E266E0">
      <w:pPr>
        <w:tabs>
          <w:tab w:val="left" w:pos="0"/>
        </w:tabs>
        <w:spacing w:after="0"/>
        <w:ind w:left="426" w:hanging="426"/>
        <w:jc w:val="both"/>
        <w:rPr>
          <w:bCs/>
          <w:i/>
          <w:iCs/>
        </w:rPr>
      </w:pPr>
      <w:r w:rsidRPr="00F547A4">
        <w:rPr>
          <w:bCs/>
          <w:i/>
          <w:iCs/>
        </w:rPr>
        <w:tab/>
        <w:t>7. RO môže využiť zásobník projektov za predpokladu, že:</w:t>
      </w:r>
    </w:p>
    <w:p w14:paraId="7775E0AF" w14:textId="18073683" w:rsidR="0098250E" w:rsidRPr="00F547A4" w:rsidRDefault="0098250E" w:rsidP="0098250E">
      <w:pPr>
        <w:numPr>
          <w:ilvl w:val="0"/>
          <w:numId w:val="30"/>
        </w:numPr>
        <w:spacing w:before="120" w:after="120" w:line="240" w:lineRule="auto"/>
        <w:ind w:left="851" w:hanging="425"/>
        <w:jc w:val="both"/>
        <w:rPr>
          <w:bCs/>
          <w:iCs/>
        </w:rPr>
      </w:pPr>
      <w:r w:rsidRPr="00F547A4">
        <w:rPr>
          <w:bCs/>
          <w:i/>
          <w:iCs/>
        </w:rPr>
        <w:t>rozhodnutie o neschválení bolo vydané len z dôvodu vyčerpania finančných prostriedkov určených na vyzvanie</w:t>
      </w:r>
      <w:r w:rsidR="00E266E0" w:rsidRPr="00F547A4">
        <w:rPr>
          <w:bCs/>
          <w:i/>
          <w:iCs/>
        </w:rPr>
        <w:t xml:space="preserve"> </w:t>
      </w:r>
      <w:r w:rsidRPr="00F547A4">
        <w:rPr>
          <w:bCs/>
          <w:iCs/>
        </w:rPr>
        <w:t>– dôvod neschválenia musí byť explicitne uved</w:t>
      </w:r>
      <w:r w:rsidR="00E266E0" w:rsidRPr="00F547A4">
        <w:rPr>
          <w:bCs/>
          <w:iCs/>
        </w:rPr>
        <w:t>ený v rozhodnutí o neschválení</w:t>
      </w:r>
      <w:r w:rsidRPr="00F547A4">
        <w:rPr>
          <w:bCs/>
          <w:iCs/>
        </w:rPr>
        <w:t>,</w:t>
      </w:r>
    </w:p>
    <w:p w14:paraId="0039A026" w14:textId="49860765" w:rsidR="0098250E" w:rsidRPr="00F547A4" w:rsidRDefault="00E266E0" w:rsidP="0098250E">
      <w:pPr>
        <w:numPr>
          <w:ilvl w:val="0"/>
          <w:numId w:val="30"/>
        </w:numPr>
        <w:spacing w:before="120" w:after="120" w:line="240" w:lineRule="auto"/>
        <w:ind w:left="851" w:hanging="425"/>
        <w:jc w:val="both"/>
        <w:rPr>
          <w:bCs/>
          <w:iCs/>
        </w:rPr>
      </w:pPr>
      <w:r w:rsidRPr="00F547A4">
        <w:rPr>
          <w:bCs/>
          <w:i/>
          <w:iCs/>
        </w:rPr>
        <w:t xml:space="preserve">RO </w:t>
      </w:r>
      <w:r w:rsidR="0098250E" w:rsidRPr="00F547A4">
        <w:rPr>
          <w:bCs/>
          <w:i/>
          <w:iCs/>
        </w:rPr>
        <w:t xml:space="preserve">disponuje dostatočnými finančnými prostriedkami určenými na zabezpečenie financovania </w:t>
      </w:r>
      <w:r w:rsidRPr="00F547A4">
        <w:rPr>
          <w:bCs/>
          <w:i/>
          <w:iCs/>
        </w:rPr>
        <w:t>projektu technickej pomoci</w:t>
      </w:r>
      <w:r w:rsidR="0098250E" w:rsidRPr="00F547A4">
        <w:rPr>
          <w:bCs/>
          <w:iCs/>
        </w:rPr>
        <w:t xml:space="preserve"> – finančné prostriedky, ktorých použitie je možné v rámci aplikácie zásobníka projektov sú dodatočné finančné prostriedky, ktorými RO disponuje v čase zmeny rozhodnutia, pričom ich výška nie je závislá od výšky finančných p</w:t>
      </w:r>
      <w:r w:rsidRPr="00F547A4">
        <w:rPr>
          <w:bCs/>
          <w:iCs/>
        </w:rPr>
        <w:t>rostriedkov vyčlenených na vyzvanie</w:t>
      </w:r>
      <w:r w:rsidR="0098250E" w:rsidRPr="00F547A4">
        <w:rPr>
          <w:bCs/>
          <w:iCs/>
        </w:rPr>
        <w:t>,</w:t>
      </w:r>
    </w:p>
    <w:p w14:paraId="3DC18DF9" w14:textId="77777777" w:rsidR="0098250E" w:rsidRPr="00F547A4" w:rsidRDefault="0098250E" w:rsidP="0098250E">
      <w:pPr>
        <w:numPr>
          <w:ilvl w:val="0"/>
          <w:numId w:val="30"/>
        </w:numPr>
        <w:spacing w:before="120" w:after="120" w:line="240" w:lineRule="auto"/>
        <w:ind w:left="851" w:hanging="425"/>
        <w:jc w:val="both"/>
        <w:rPr>
          <w:bCs/>
          <w:iCs/>
        </w:rPr>
      </w:pPr>
      <w:r w:rsidRPr="00F547A4">
        <w:rPr>
          <w:bCs/>
          <w:i/>
          <w:iCs/>
        </w:rPr>
        <w:t>žiadateľ preukázateľne spĺňa podmienky poskytnutia príspevku</w:t>
      </w:r>
      <w:r w:rsidRPr="00F547A4">
        <w:rPr>
          <w:bCs/>
          <w:iCs/>
        </w:rPr>
        <w:t xml:space="preserve"> – overenie podmienok poskytnutia príspevku je predpokladom zmeny rozhodnutia podľa tejto časti,</w:t>
      </w:r>
    </w:p>
    <w:p w14:paraId="45705DD4" w14:textId="4DE130C9" w:rsidR="0098250E" w:rsidRPr="00F547A4" w:rsidRDefault="0098250E" w:rsidP="00E266E0">
      <w:pPr>
        <w:numPr>
          <w:ilvl w:val="0"/>
          <w:numId w:val="30"/>
        </w:numPr>
        <w:spacing w:after="0" w:line="240" w:lineRule="auto"/>
        <w:ind w:left="851" w:hanging="425"/>
        <w:jc w:val="both"/>
        <w:rPr>
          <w:bCs/>
          <w:iCs/>
        </w:rPr>
      </w:pPr>
      <w:r w:rsidRPr="00F547A4">
        <w:rPr>
          <w:bCs/>
          <w:i/>
          <w:iCs/>
        </w:rPr>
        <w:t>žiadateľ so zmenou rozhodnutia súhlasí</w:t>
      </w:r>
      <w:r w:rsidRPr="00F547A4">
        <w:rPr>
          <w:bCs/>
          <w:iCs/>
        </w:rPr>
        <w:t>.</w:t>
      </w:r>
    </w:p>
    <w:p w14:paraId="53197E4A" w14:textId="77777777" w:rsidR="00E266E0" w:rsidRPr="00F547A4" w:rsidRDefault="00E266E0" w:rsidP="00E266E0">
      <w:pPr>
        <w:spacing w:after="0" w:line="240" w:lineRule="auto"/>
        <w:ind w:left="851"/>
        <w:jc w:val="both"/>
        <w:rPr>
          <w:bCs/>
          <w:iCs/>
        </w:rPr>
      </w:pPr>
    </w:p>
    <w:p w14:paraId="77C3508B" w14:textId="2ED80D60" w:rsidR="0060100F" w:rsidRPr="00F547A4" w:rsidRDefault="00E266E0" w:rsidP="00E266E0">
      <w:pPr>
        <w:tabs>
          <w:tab w:val="left" w:pos="0"/>
        </w:tabs>
        <w:spacing w:after="0"/>
        <w:ind w:left="426" w:hanging="426"/>
        <w:jc w:val="both"/>
        <w:rPr>
          <w:bCs/>
          <w:i/>
          <w:iCs/>
        </w:rPr>
      </w:pPr>
      <w:r w:rsidRPr="00F547A4">
        <w:rPr>
          <w:bCs/>
          <w:i/>
          <w:iCs/>
        </w:rPr>
        <w:tab/>
        <w:t>8.</w:t>
      </w:r>
      <w:r w:rsidR="001B1EE6" w:rsidRPr="00F547A4">
        <w:rPr>
          <w:bCs/>
          <w:i/>
          <w:iCs/>
        </w:rPr>
        <w:t xml:space="preserve"> Pri rozhodovaní o zmene rozhodnutia o neschválení žiadosti je RO viazaný dodržaním poradia žiadostí podľa dátumu a času ich predloženia. Zároveň platí, že pokiaľ disponibilné finančné prostriedky, ktoré sa uvoľnili na vyčerpanie vo vyzvaní nepostačujú na zabezpečenie financovania projektu, ktorý je predmetom žiadosti, ktorá bola podľa dátumu a času predloženia umiestnená ako prvá v poradí, poskytovateľ koná v tzv. zmenovom konaní o tej ďalšej nasledujúcej žiadosti podľa poradia, na ktorú disponibilná alokácia postačuje.</w:t>
      </w:r>
    </w:p>
    <w:p w14:paraId="3185E1B6" w14:textId="1BA1FD72" w:rsidR="001B1EE6" w:rsidRPr="00F547A4" w:rsidRDefault="001B1EE6" w:rsidP="00E266E0">
      <w:pPr>
        <w:tabs>
          <w:tab w:val="left" w:pos="0"/>
        </w:tabs>
        <w:spacing w:after="0"/>
        <w:ind w:left="426" w:hanging="426"/>
        <w:jc w:val="both"/>
        <w:rPr>
          <w:bCs/>
          <w:i/>
          <w:iCs/>
        </w:rPr>
      </w:pPr>
    </w:p>
    <w:p w14:paraId="3084BF01" w14:textId="6674FF4D" w:rsidR="001B1EE6" w:rsidRPr="00F547A4" w:rsidRDefault="001B1EE6" w:rsidP="00E266E0">
      <w:pPr>
        <w:tabs>
          <w:tab w:val="left" w:pos="0"/>
        </w:tabs>
        <w:spacing w:after="0"/>
        <w:ind w:left="426" w:hanging="426"/>
        <w:jc w:val="both"/>
        <w:rPr>
          <w:bCs/>
          <w:i/>
          <w:iCs/>
        </w:rPr>
      </w:pPr>
      <w:r w:rsidRPr="00F547A4">
        <w:rPr>
          <w:bCs/>
          <w:i/>
          <w:iCs/>
        </w:rPr>
        <w:lastRenderedPageBreak/>
        <w:tab/>
        <w:t xml:space="preserve">9. V rámci vyššie uvedeného sa zdôrazňuje, že v súlade s princípmi § 2 ods. 2 zákona </w:t>
      </w:r>
      <w:r w:rsidR="00453C0B" w:rsidRPr="00F547A4">
        <w:rPr>
          <w:bCs/>
          <w:i/>
          <w:iCs/>
        </w:rPr>
        <w:t xml:space="preserve">o príspevku z EŠIF RO </w:t>
      </w:r>
      <w:r w:rsidRPr="00F547A4">
        <w:rPr>
          <w:bCs/>
          <w:i/>
          <w:iCs/>
        </w:rPr>
        <w:t xml:space="preserve">nie je oprávnený postupne navyšovať alokáciu určenú na vyčerpanie </w:t>
      </w:r>
      <w:r w:rsidRPr="00D938B0">
        <w:rPr>
          <w:bCs/>
          <w:i/>
          <w:iCs/>
        </w:rPr>
        <w:t>s cieľom účelovo podporiť konkrétnu žiadosť, o ktorej neschválení z dôvodu nedostatku finančných prostriedkov</w:t>
      </w:r>
      <w:r w:rsidRPr="00F547A4">
        <w:rPr>
          <w:bCs/>
          <w:i/>
          <w:iCs/>
        </w:rPr>
        <w:t xml:space="preserve"> bolo predtým rozhodnuté.</w:t>
      </w:r>
      <w:r w:rsidR="00F547A4">
        <w:rPr>
          <w:bCs/>
          <w:i/>
          <w:iCs/>
        </w:rPr>
        <w:t>“</w:t>
      </w:r>
    </w:p>
    <w:p w14:paraId="604B348A" w14:textId="1B83968D" w:rsidR="008A72BD" w:rsidRDefault="008A72BD" w:rsidP="00AA2878">
      <w:pPr>
        <w:pStyle w:val="Odsekzoznamu"/>
        <w:spacing w:after="0"/>
        <w:ind w:left="426"/>
        <w:contextualSpacing w:val="0"/>
        <w:jc w:val="both"/>
      </w:pPr>
      <w:r>
        <w:tab/>
      </w:r>
    </w:p>
    <w:p w14:paraId="6ED0AEFA" w14:textId="548A0845" w:rsidR="007A65F5" w:rsidRDefault="00C1517F" w:rsidP="00AA2878">
      <w:pPr>
        <w:pStyle w:val="MPCKO1"/>
        <w:tabs>
          <w:tab w:val="left" w:pos="567"/>
        </w:tabs>
        <w:spacing w:before="0"/>
        <w:jc w:val="both"/>
      </w:pPr>
      <w:bookmarkStart w:id="11" w:name="_Toc107581579"/>
      <w:r>
        <w:t>4</w:t>
      </w:r>
      <w:r w:rsidR="007A65F5">
        <w:t xml:space="preserve"> </w:t>
      </w:r>
      <w:r w:rsidR="007A65F5">
        <w:tab/>
        <w:t>Rozšírenie definície krízovej situácie</w:t>
      </w:r>
      <w:bookmarkEnd w:id="11"/>
    </w:p>
    <w:p w14:paraId="5906AE99" w14:textId="512B4ADE" w:rsidR="00E40BD9" w:rsidRDefault="00E40BD9" w:rsidP="00AA2878">
      <w:pPr>
        <w:pStyle w:val="MPCKO2"/>
      </w:pPr>
      <w:bookmarkStart w:id="12" w:name="_Toc107581580"/>
      <w:r>
        <w:t>4</w:t>
      </w:r>
      <w:r w:rsidRPr="007366EE">
        <w:t xml:space="preserve">.1 </w:t>
      </w:r>
      <w:r>
        <w:t>Popis legislatívnej úpravy</w:t>
      </w:r>
      <w:bookmarkEnd w:id="12"/>
    </w:p>
    <w:p w14:paraId="70651086" w14:textId="77777777" w:rsidR="00E40BD9" w:rsidRPr="007366EE" w:rsidRDefault="00E40BD9" w:rsidP="00AA2878">
      <w:pPr>
        <w:pStyle w:val="MPCKO2"/>
        <w:spacing w:before="0"/>
      </w:pPr>
    </w:p>
    <w:p w14:paraId="5E9AD357" w14:textId="77777777" w:rsidR="00C31DD8" w:rsidRDefault="00E40BD9" w:rsidP="00AA2878">
      <w:pPr>
        <w:ind w:left="426" w:hanging="426"/>
        <w:jc w:val="both"/>
      </w:pPr>
      <w:r>
        <w:t>1.</w:t>
      </w:r>
      <w:r>
        <w:tab/>
      </w:r>
      <w:r w:rsidR="0027120B">
        <w:t>Právna</w:t>
      </w:r>
      <w:r w:rsidR="00595E6A">
        <w:t xml:space="preserve"> </w:t>
      </w:r>
      <w:r w:rsidR="0027120B">
        <w:t>úprava</w:t>
      </w:r>
      <w:r w:rsidR="00595E6A">
        <w:t xml:space="preserve"> zákona o príspevku z EŠIF spočívaj</w:t>
      </w:r>
      <w:r w:rsidR="0027120B">
        <w:t>úca</w:t>
      </w:r>
      <w:r w:rsidR="00595E6A">
        <w:t xml:space="preserve"> v doplnení definície krízovej situácie v § 56 umožňuje využitie osobitných procesných ustanovení v § 56 a</w:t>
      </w:r>
      <w:r w:rsidR="0027120B">
        <w:t xml:space="preserve">ž 61 v čase akejkoľvek krízovej situácie vyhlásenej na základe </w:t>
      </w:r>
      <w:r w:rsidR="0027120B" w:rsidRPr="00D938B0">
        <w:t>zákona na území Slovenskej republiky. Doposiaľ sa predmetné osobitné ustanovenia vzťahovali len na mimoriadnu situáciu, núdzový stav alebo výnimočný stav vyhlásený v súvislosti s ochorením COVID-19. Zároveň sa definícia krízovej situácie rozširuje tak, že osobitné postupy je možné využiť aj z dôvodu objektívnej mimoriadnej udalosti nespôsobenej prijímateľom, ktorú tento nemohol predvídať.</w:t>
      </w:r>
    </w:p>
    <w:p w14:paraId="0F6E16C9" w14:textId="77777777" w:rsidR="00C31DD8" w:rsidRDefault="00C31DD8" w:rsidP="00595E6A">
      <w:pPr>
        <w:ind w:left="426" w:hanging="426"/>
        <w:jc w:val="both"/>
      </w:pPr>
      <w:r>
        <w:t xml:space="preserve">2. </w:t>
      </w:r>
      <w:r>
        <w:tab/>
      </w:r>
      <w:r w:rsidRPr="00C31DD8">
        <w:t xml:space="preserve">Rozšírenie právnej úpravy nielen vo vzťahu k pandémii COVID-19, ale aj </w:t>
      </w:r>
      <w:r>
        <w:t>pre iné krízové situácie, umožňuje</w:t>
      </w:r>
      <w:r w:rsidRPr="00C31DD8">
        <w:t xml:space="preserve"> aj v súčasnej situácii vojnového konfliktu, ktorého dôsledkom je navyšovanie cien, problémy s dodávkami rôznych tovarov, nedostatok pracovných síl a ďalšie, zachovať plynulosť čerpania finančných prostriedkov už </w:t>
      </w:r>
      <w:proofErr w:type="spellStart"/>
      <w:r w:rsidRPr="00C31DD8">
        <w:t>zazmluvnených</w:t>
      </w:r>
      <w:proofErr w:type="spellEnd"/>
      <w:r w:rsidRPr="00C31DD8">
        <w:t xml:space="preserve"> národných projektov a poskytovateľom operatívne reagovať na požiadavky súvisiace s presmerovaním finančných prostriedkov vo vzťahu k už vyhláseným, prípadne pripravovaným vyzvaniam, a to v rámci možnosti zmeny vyzvania pre národný projekt.</w:t>
      </w:r>
    </w:p>
    <w:p w14:paraId="07331228" w14:textId="77777777" w:rsidR="00D076B3" w:rsidRDefault="00C31DD8" w:rsidP="00C31DD8">
      <w:pPr>
        <w:ind w:left="426" w:hanging="426"/>
        <w:jc w:val="both"/>
      </w:pPr>
      <w:r>
        <w:t xml:space="preserve">3. </w:t>
      </w:r>
      <w:r>
        <w:tab/>
      </w:r>
      <w:r w:rsidRPr="00C31DD8">
        <w:t xml:space="preserve">V rámci osobitných procesných ustanovení v čase krízovej situácie sa naďalej pri zasadnutí kolektívnych orgánov umožňuje využitie elektronických prostriedkov. Pre </w:t>
      </w:r>
      <w:r w:rsidR="00D076B3">
        <w:t>RO</w:t>
      </w:r>
      <w:r w:rsidRPr="00C31DD8">
        <w:t xml:space="preserve"> sa naďalej umožňuje flexibilne reagovať na spoločenské potreby, mimoriadnu situáciu a potreby implementácie úpravou existujúceho národného projektu. Uvedeným spôsobom sa eliminuje administratívna záťaž spočívajúca v potrebe prípravy, schválenia a vyhlásenia nového vyzvania, vykonania nového konania o žiadosti a </w:t>
      </w:r>
      <w:proofErr w:type="spellStart"/>
      <w:r w:rsidRPr="00C31DD8">
        <w:t>zazmluvnenia</w:t>
      </w:r>
      <w:proofErr w:type="spellEnd"/>
      <w:r w:rsidRPr="00C31DD8">
        <w:t xml:space="preserve"> projektu. V čase krízovej situácie bude naďalej možné napríklad meniť vyzvanie aktuálne otvorené aj uzavreté, t. j. aj v prípade, ak už je národný projekt v realizácii. Vyzvanie bude možné meniť akýmkoľvek spôsobom, teda napr. rozšíriť jednotlivé podmienky poskytnutia príspevku (napr. zmena cieľovej skupiny, doplnenie aktivity alebo </w:t>
      </w:r>
      <w:proofErr w:type="spellStart"/>
      <w:r w:rsidRPr="00C31DD8">
        <w:t>podaktivity</w:t>
      </w:r>
      <w:proofErr w:type="spellEnd"/>
      <w:r w:rsidRPr="00C31DD8">
        <w:t xml:space="preserve">, predĺženie maximálne doby realizácie projektu) alebo navýšiť výšku nenávratného finančného príspevku. Nebude možná zmena podmienok poskytnutia príspevku vzťahujúcich sa k subjektom, ktoré realizujú projekt, t. j. oprávnenosť žiadateľa a partnera. Ďalej zostáva zachovaná možnosť pri vykonaní zmeny zmluvy využívať len oznámenie </w:t>
      </w:r>
      <w:r w:rsidR="00D076B3">
        <w:t>RO</w:t>
      </w:r>
      <w:r w:rsidRPr="00C31DD8">
        <w:t xml:space="preserve"> prijímateľovi s odkazom na vzorovú zmenu zverejnenú na webovom sídle </w:t>
      </w:r>
      <w:r w:rsidR="00D076B3">
        <w:t>RO</w:t>
      </w:r>
      <w:r w:rsidRPr="00C31DD8">
        <w:t xml:space="preserve">, ktorá musí odkazovať na zmenu </w:t>
      </w:r>
      <w:r w:rsidR="00D076B3">
        <w:t>CKO a/alebo CO</w:t>
      </w:r>
      <w:r w:rsidRPr="00C31DD8">
        <w:t xml:space="preserve"> pre oblasti v ich pôsobnosti. Zároveň sa pre </w:t>
      </w:r>
      <w:r w:rsidR="00D076B3">
        <w:t>RO</w:t>
      </w:r>
      <w:r w:rsidRPr="00C31DD8">
        <w:t xml:space="preserve"> ponecháva možnosť uzatvorenia dohôd o splátkach a dohôd o odklade plnenia na dlhšiu dobu ako doteraz (4 roky pre dohodu o splátkach predĺžené na 5 rokov a 2 roky pre dohodu o odklade plnenia predĺžené na 3 roky) a možnosť kombinácie odkladu a splátok, tzn. odklad na dva roky a následne trojročné splácanie.</w:t>
      </w:r>
    </w:p>
    <w:p w14:paraId="468A0E7E" w14:textId="231AD411" w:rsidR="0027120B" w:rsidRDefault="00D076B3" w:rsidP="00C31DD8">
      <w:pPr>
        <w:ind w:left="426" w:hanging="426"/>
        <w:jc w:val="both"/>
      </w:pPr>
      <w:r>
        <w:lastRenderedPageBreak/>
        <w:t>4.</w:t>
      </w:r>
      <w:r>
        <w:tab/>
        <w:t xml:space="preserve">Naďalej platí, že predmetné osobitné procesné ustanovenia v čase krízovej situácie sa uplatňujú aj v tzv. prechodnom období, </w:t>
      </w:r>
      <w:proofErr w:type="spellStart"/>
      <w:r>
        <w:t>t.j</w:t>
      </w:r>
      <w:proofErr w:type="spellEnd"/>
      <w:r>
        <w:t>. šesť mesiacov nasledujúcich po odvolaní mimoriadnej situácie, núdzového stavu alebo výnimočného stavu.</w:t>
      </w:r>
      <w:r w:rsidR="0027120B">
        <w:t xml:space="preserve"> </w:t>
      </w:r>
    </w:p>
    <w:p w14:paraId="2BEFBCDE" w14:textId="0639E5C6" w:rsidR="00E40BD9" w:rsidRDefault="00E40BD9" w:rsidP="00E40BD9">
      <w:pPr>
        <w:pStyle w:val="MPCKO2"/>
        <w:spacing w:before="0"/>
      </w:pPr>
      <w:bookmarkStart w:id="13" w:name="_Toc107581581"/>
      <w:r>
        <w:t>4.2</w:t>
      </w:r>
      <w:r w:rsidRPr="007366EE">
        <w:t xml:space="preserve"> Zmeny v kapitole</w:t>
      </w:r>
      <w:r>
        <w:t xml:space="preserve"> </w:t>
      </w:r>
      <w:r w:rsidR="000E0BAA">
        <w:t>1.2.1 Zoznam použitých skratiek a vybraných pojmov</w:t>
      </w:r>
      <w:bookmarkEnd w:id="13"/>
    </w:p>
    <w:p w14:paraId="272D525D" w14:textId="77777777" w:rsidR="00E40BD9" w:rsidRDefault="00E40BD9" w:rsidP="00E40BD9">
      <w:pPr>
        <w:spacing w:after="0"/>
        <w:jc w:val="both"/>
      </w:pPr>
      <w:r>
        <w:t xml:space="preserve"> </w:t>
      </w:r>
    </w:p>
    <w:p w14:paraId="467B9148" w14:textId="52EE2A03" w:rsidR="000E0BAA" w:rsidRDefault="00E40BD9" w:rsidP="002A5CB1">
      <w:pPr>
        <w:spacing w:after="0"/>
        <w:ind w:left="567" w:hanging="567"/>
        <w:jc w:val="both"/>
        <w:rPr>
          <w:bCs/>
          <w:iCs/>
        </w:rPr>
      </w:pPr>
      <w:r>
        <w:rPr>
          <w:bCs/>
          <w:iCs/>
        </w:rPr>
        <w:t>1.</w:t>
      </w:r>
      <w:r>
        <w:rPr>
          <w:bCs/>
          <w:iCs/>
        </w:rPr>
        <w:tab/>
      </w:r>
      <w:r w:rsidR="000E0BAA">
        <w:rPr>
          <w:bCs/>
          <w:iCs/>
        </w:rPr>
        <w:t xml:space="preserve">V kapitole 1.2.1 Zoznam použitých skratiek a vybraných pojmov sa ruší definícia krízovej situácie </w:t>
      </w:r>
      <w:r w:rsidR="002A5CB1">
        <w:rPr>
          <w:bCs/>
          <w:iCs/>
        </w:rPr>
        <w:t xml:space="preserve">a </w:t>
      </w:r>
      <w:r w:rsidR="000E0BAA">
        <w:rPr>
          <w:bCs/>
          <w:iCs/>
        </w:rPr>
        <w:t>nahrádza sa novou, ktorá znie:</w:t>
      </w:r>
    </w:p>
    <w:p w14:paraId="18F7794A" w14:textId="0797F42F" w:rsidR="000E0BAA" w:rsidRDefault="002A5CB1" w:rsidP="00E40BD9">
      <w:pPr>
        <w:spacing w:after="0"/>
        <w:jc w:val="both"/>
        <w:rPr>
          <w:bCs/>
          <w:iCs/>
        </w:rPr>
      </w:pPr>
      <w:r>
        <w:rPr>
          <w:bCs/>
          <w:iCs/>
        </w:rPr>
        <w:tab/>
      </w:r>
    </w:p>
    <w:p w14:paraId="6B7F6E76" w14:textId="51CFD225" w:rsidR="002A5CB1" w:rsidRPr="002A5CB1" w:rsidRDefault="002A5CB1" w:rsidP="002A5CB1">
      <w:pPr>
        <w:spacing w:after="0"/>
        <w:ind w:left="567"/>
        <w:jc w:val="both"/>
        <w:rPr>
          <w:bCs/>
          <w:i/>
          <w:iCs/>
        </w:rPr>
      </w:pPr>
      <w:r w:rsidRPr="002A5CB1">
        <w:rPr>
          <w:bCs/>
          <w:i/>
          <w:iCs/>
        </w:rPr>
        <w:t>„Krízová situácia – obdobie mimoriadnej situácie, núdzového stavu alebo výnimočného stavu a v období šiestich mesiacov nasledujúcich po ich odvolaní alebo mimoriadna udalosť nespôsobená prijímateľom, ktorú nemohol predvídať“</w:t>
      </w:r>
    </w:p>
    <w:p w14:paraId="4036B667" w14:textId="77777777" w:rsidR="007A65F5" w:rsidRPr="007A65F5" w:rsidRDefault="007A65F5" w:rsidP="007A65F5"/>
    <w:p w14:paraId="46FA7B4F" w14:textId="30E98D99" w:rsidR="007A65F5" w:rsidRDefault="00C1517F" w:rsidP="007A65F5">
      <w:pPr>
        <w:pStyle w:val="MPCKO1"/>
        <w:tabs>
          <w:tab w:val="left" w:pos="567"/>
        </w:tabs>
        <w:jc w:val="both"/>
      </w:pPr>
      <w:bookmarkStart w:id="14" w:name="_Toc107581582"/>
      <w:r>
        <w:t>5</w:t>
      </w:r>
      <w:r w:rsidR="007A65F5">
        <w:tab/>
        <w:t>Ďalšie precizovanie právnej úpravy a zabezpečenie jej súladu s národnou a európskou legislatívou</w:t>
      </w:r>
      <w:bookmarkEnd w:id="14"/>
    </w:p>
    <w:p w14:paraId="36FDA03A" w14:textId="3077C2AF" w:rsidR="00E40BD9" w:rsidRDefault="00E40BD9" w:rsidP="00E40BD9">
      <w:pPr>
        <w:pStyle w:val="MPCKO2"/>
      </w:pPr>
      <w:bookmarkStart w:id="15" w:name="_Toc107581583"/>
      <w:r>
        <w:t>5</w:t>
      </w:r>
      <w:r w:rsidRPr="007366EE">
        <w:t xml:space="preserve">.1 </w:t>
      </w:r>
      <w:r w:rsidR="00AA2878">
        <w:t>Doplnenie právnej úpravy v § 7 zákona o príspevku z EŠIF - o</w:t>
      </w:r>
      <w:r w:rsidR="00F9535F">
        <w:t>právnenie RO požadovať súčinnosť od Policajného zboru, orgánov činných v trestnom konaní a súdu</w:t>
      </w:r>
      <w:bookmarkEnd w:id="15"/>
    </w:p>
    <w:p w14:paraId="1114D4F4" w14:textId="4513E7F9" w:rsidR="00F9535F" w:rsidRPr="007366EE" w:rsidRDefault="00F9535F" w:rsidP="0095691E">
      <w:pPr>
        <w:pStyle w:val="MPCKO2"/>
        <w:spacing w:before="0"/>
      </w:pPr>
    </w:p>
    <w:p w14:paraId="0FB61041" w14:textId="75856195" w:rsidR="00F9535F" w:rsidRDefault="00E40BD9" w:rsidP="0095691E">
      <w:pPr>
        <w:spacing w:after="0"/>
        <w:ind w:left="426" w:hanging="426"/>
        <w:jc w:val="both"/>
      </w:pPr>
      <w:r>
        <w:t>1.</w:t>
      </w:r>
      <w:r>
        <w:tab/>
      </w:r>
      <w:r w:rsidR="00F9535F">
        <w:t>Zakotvenie oprávnenia RO</w:t>
      </w:r>
      <w:r w:rsidR="0095691E">
        <w:t xml:space="preserve"> v § 7 ods. 14 zákona o príspevku z</w:t>
      </w:r>
      <w:r w:rsidR="00AA2878">
        <w:t> </w:t>
      </w:r>
      <w:r w:rsidR="0095691E">
        <w:t>EŠIF</w:t>
      </w:r>
      <w:r w:rsidR="00AA2878">
        <w:t xml:space="preserve">, </w:t>
      </w:r>
      <w:proofErr w:type="spellStart"/>
      <w:r w:rsidR="00AA2878">
        <w:t>t.j</w:t>
      </w:r>
      <w:proofErr w:type="spellEnd"/>
      <w:r w:rsidR="00AA2878">
        <w:t>. oprávnenie</w:t>
      </w:r>
      <w:r w:rsidR="00F9535F">
        <w:t xml:space="preserve"> požadovať súčinnosť od Policajného zboru, orgánov činných v trestnom konaní a súdu poskytuje RO pomoc pri riešení nezrovnalostí pri plnení svojich úloh. </w:t>
      </w:r>
    </w:p>
    <w:p w14:paraId="4D90F1FA" w14:textId="67941CDF" w:rsidR="008C453A" w:rsidRDefault="00F9535F" w:rsidP="0095691E">
      <w:pPr>
        <w:spacing w:after="0"/>
        <w:ind w:left="426" w:hanging="426"/>
        <w:jc w:val="both"/>
      </w:pPr>
      <w:r w:rsidRPr="00F9535F">
        <w:t xml:space="preserve"> </w:t>
      </w:r>
      <w:r>
        <w:t xml:space="preserve"> </w:t>
      </w:r>
    </w:p>
    <w:p w14:paraId="3C4B11F1" w14:textId="1319BC88" w:rsidR="00E40BD9" w:rsidRDefault="00E40BD9" w:rsidP="00E40BD9">
      <w:pPr>
        <w:pStyle w:val="MPCKO2"/>
        <w:spacing w:before="0"/>
      </w:pPr>
      <w:bookmarkStart w:id="16" w:name="_Toc107581584"/>
      <w:r>
        <w:t>5.2</w:t>
      </w:r>
      <w:r w:rsidRPr="007366EE">
        <w:t xml:space="preserve"> </w:t>
      </w:r>
      <w:r w:rsidR="000515E0">
        <w:t>Precizovanie právnej úpravy v § 7 ods. 3 zákona o príspevku z EŠIF</w:t>
      </w:r>
      <w:bookmarkEnd w:id="16"/>
      <w:r w:rsidR="000515E0">
        <w:t xml:space="preserve"> </w:t>
      </w:r>
    </w:p>
    <w:p w14:paraId="26FC1BDA" w14:textId="77777777" w:rsidR="00E40BD9" w:rsidRDefault="00E40BD9" w:rsidP="00E40BD9">
      <w:pPr>
        <w:spacing w:after="0"/>
        <w:jc w:val="both"/>
      </w:pPr>
      <w:r>
        <w:t xml:space="preserve"> </w:t>
      </w:r>
    </w:p>
    <w:p w14:paraId="734E97A4" w14:textId="2ACC6127" w:rsidR="000515E0" w:rsidRDefault="00E40BD9" w:rsidP="0095691E">
      <w:pPr>
        <w:spacing w:after="0"/>
        <w:ind w:left="567" w:hanging="567"/>
        <w:jc w:val="both"/>
        <w:rPr>
          <w:bCs/>
          <w:iCs/>
        </w:rPr>
      </w:pPr>
      <w:r>
        <w:rPr>
          <w:bCs/>
          <w:iCs/>
        </w:rPr>
        <w:t>1.</w:t>
      </w:r>
      <w:r>
        <w:rPr>
          <w:bCs/>
          <w:iCs/>
        </w:rPr>
        <w:tab/>
      </w:r>
      <w:r w:rsidR="000515E0">
        <w:rPr>
          <w:bCs/>
          <w:iCs/>
        </w:rPr>
        <w:t xml:space="preserve">Legislatívno-technickou úpravou § 7 ods. 3 zákona o príspevku z EŠIF sa zabezpečuje súlad so zákonom č. 357/2015 Z. z. o finančnej kontrole a audite a o zmene a doplnení niektorých zákonov v znení zákona č. 39/2022 Z. z. účinnom od 1. marca 2022 (ďalej len „zákon o finančnej kontrole“) - RO má možnosť overovať administratívnou finančnou kontrolou súlad finančnej operácie alebo jej časti len s určenými skutočnosťami </w:t>
      </w:r>
      <w:r w:rsidR="00927040">
        <w:rPr>
          <w:bCs/>
          <w:iCs/>
        </w:rPr>
        <w:t xml:space="preserve">uvedenými v </w:t>
      </w:r>
      <w:r w:rsidR="000515E0">
        <w:rPr>
          <w:bCs/>
          <w:iCs/>
        </w:rPr>
        <w:t>§ 6 ods. 4 zákona o finančnej kontrole</w:t>
      </w:r>
      <w:r w:rsidR="00927040">
        <w:rPr>
          <w:bCs/>
          <w:iCs/>
        </w:rPr>
        <w:t>, ktoré ustanovia osobitné predpisy</w:t>
      </w:r>
      <w:r w:rsidR="000515E0">
        <w:rPr>
          <w:bCs/>
          <w:iCs/>
        </w:rPr>
        <w:t>.</w:t>
      </w:r>
    </w:p>
    <w:p w14:paraId="6785DEC1" w14:textId="7A96A400" w:rsidR="00C2408A" w:rsidRDefault="00C2408A" w:rsidP="0095691E">
      <w:pPr>
        <w:pStyle w:val="Odsekzoznamu"/>
        <w:spacing w:after="0"/>
        <w:ind w:left="425"/>
        <w:contextualSpacing w:val="0"/>
        <w:jc w:val="both"/>
      </w:pPr>
    </w:p>
    <w:p w14:paraId="001E7E07" w14:textId="77777777" w:rsidR="00284DC4" w:rsidRDefault="00284DC4" w:rsidP="0095691E">
      <w:pPr>
        <w:pStyle w:val="Odsekzoznamu"/>
        <w:spacing w:after="0"/>
        <w:ind w:left="425"/>
        <w:contextualSpacing w:val="0"/>
        <w:jc w:val="both"/>
      </w:pPr>
    </w:p>
    <w:p w14:paraId="01C7FEE4" w14:textId="1D2740E9" w:rsidR="00927040" w:rsidRDefault="00927040" w:rsidP="0095691E">
      <w:pPr>
        <w:pStyle w:val="MPCKO2"/>
        <w:spacing w:before="0"/>
      </w:pPr>
      <w:bookmarkStart w:id="17" w:name="_Toc107581585"/>
      <w:r>
        <w:t>5.3</w:t>
      </w:r>
      <w:r w:rsidRPr="007366EE">
        <w:t xml:space="preserve"> </w:t>
      </w:r>
      <w:r>
        <w:t xml:space="preserve">Precizovanie právnej </w:t>
      </w:r>
      <w:r w:rsidR="002C2DDF">
        <w:t>úpravy v § 16a</w:t>
      </w:r>
      <w:r>
        <w:t xml:space="preserve"> ods. </w:t>
      </w:r>
      <w:r w:rsidR="002C2DDF">
        <w:t>2</w:t>
      </w:r>
      <w:r>
        <w:t xml:space="preserve"> zákona o príspevku z EŠIF</w:t>
      </w:r>
      <w:bookmarkEnd w:id="17"/>
      <w:r>
        <w:t xml:space="preserve"> </w:t>
      </w:r>
    </w:p>
    <w:p w14:paraId="399493D0" w14:textId="384C082E" w:rsidR="000515E0" w:rsidRDefault="000515E0" w:rsidP="0095691E">
      <w:pPr>
        <w:spacing w:after="0"/>
        <w:jc w:val="both"/>
      </w:pPr>
    </w:p>
    <w:p w14:paraId="57E2B0E4" w14:textId="0E6CD238" w:rsidR="002C2DDF" w:rsidRDefault="002C2DDF" w:rsidP="0095691E">
      <w:pPr>
        <w:spacing w:after="0"/>
        <w:ind w:left="567" w:hanging="567"/>
        <w:jc w:val="both"/>
      </w:pPr>
      <w:r>
        <w:t xml:space="preserve">1. </w:t>
      </w:r>
      <w:r>
        <w:tab/>
        <w:t>Legislatívno-technickou úpravou v § 16a ods. 2 zákona o príspevku z EŠIF sa zosúlaďuje právna úprava s Oznámením Európskej Komisie</w:t>
      </w:r>
      <w:r w:rsidR="0095691E">
        <w:t xml:space="preserve"> </w:t>
      </w:r>
      <w:r>
        <w:t xml:space="preserve">- Usmernenia týkajúceho sa používania zjednodušeného vykazovania nákladov v rámci EŠIF, podľa ktorého sa musí zjednodušené vykazovanie výdavkov vymedziť vopred a použitie zjednodušeného vykazovania výdavkov by sa malo uviesť vo výzve/vyzvaní, aby sa zabezpečilo dodržanie zásady transparentnosti a rovnakého zaobchádzania. </w:t>
      </w:r>
    </w:p>
    <w:p w14:paraId="458A87EA" w14:textId="77777777" w:rsidR="00AF5B3D" w:rsidRDefault="00AF5B3D" w:rsidP="0095691E">
      <w:pPr>
        <w:pStyle w:val="Odsekzoznamu"/>
        <w:spacing w:after="0"/>
        <w:ind w:left="425"/>
        <w:contextualSpacing w:val="0"/>
        <w:jc w:val="both"/>
      </w:pPr>
    </w:p>
    <w:p w14:paraId="19C6C2F8" w14:textId="7EEB43F4" w:rsidR="00AF5B3D" w:rsidRDefault="00AF5B3D" w:rsidP="0095691E">
      <w:pPr>
        <w:pStyle w:val="MPCKO2"/>
        <w:spacing w:before="0"/>
      </w:pPr>
      <w:bookmarkStart w:id="18" w:name="_Toc107581586"/>
      <w:r>
        <w:lastRenderedPageBreak/>
        <w:t>5</w:t>
      </w:r>
      <w:r w:rsidRPr="007366EE">
        <w:t>.</w:t>
      </w:r>
      <w:r>
        <w:t>4</w:t>
      </w:r>
      <w:r w:rsidRPr="007366EE">
        <w:t xml:space="preserve"> </w:t>
      </w:r>
      <w:r>
        <w:t>Precizovanie právnej úpravy v § 17 ods. 6 posledná veta zákona o príspevku z EŠIF</w:t>
      </w:r>
      <w:r w:rsidR="009B03CA">
        <w:t xml:space="preserve"> a zmeny v kapitole 3.1.1.1 Zmena a zrušenie výzvy Systému riadenia EŠIF</w:t>
      </w:r>
      <w:bookmarkEnd w:id="18"/>
    </w:p>
    <w:p w14:paraId="7932540B" w14:textId="77777777" w:rsidR="00AF5B3D" w:rsidRPr="007366EE" w:rsidRDefault="00AF5B3D" w:rsidP="00AF5B3D">
      <w:pPr>
        <w:pStyle w:val="MPCKO2"/>
      </w:pPr>
    </w:p>
    <w:p w14:paraId="4C506F69" w14:textId="369ACB0E" w:rsidR="00A77FE9" w:rsidRDefault="00AF5B3D" w:rsidP="00AA2878">
      <w:pPr>
        <w:ind w:left="567" w:hanging="567"/>
        <w:jc w:val="both"/>
      </w:pPr>
      <w:r>
        <w:t>1.</w:t>
      </w:r>
      <w:r>
        <w:tab/>
        <w:t xml:space="preserve">Vo vzťahu k zmene výzvy bolo právnou úpravou v § 17 ods. 6 posledná veta zákona o príspevku z EŠIF </w:t>
      </w:r>
      <w:proofErr w:type="spellStart"/>
      <w:r>
        <w:t>klarifikované</w:t>
      </w:r>
      <w:proofErr w:type="spellEnd"/>
      <w:r>
        <w:t>, že prvým rozhodnutím, po vydaní ktorého RO už nemôže zmeniť výzvu</w:t>
      </w:r>
      <w:r w:rsidR="00DD3F74">
        <w:t>,</w:t>
      </w:r>
      <w:r>
        <w:t xml:space="preserve"> nie je rozhodnutie o zastavení konania, ktoré sa vydáva v prípadoch </w:t>
      </w:r>
      <w:proofErr w:type="spellStart"/>
      <w:r>
        <w:t>späťvzatia</w:t>
      </w:r>
      <w:proofErr w:type="spellEnd"/>
      <w:r>
        <w:t xml:space="preserve"> žiadosti, smrti žiadateľa alebo ďalších obli</w:t>
      </w:r>
      <w:r w:rsidR="00DD3F74">
        <w:t>ga</w:t>
      </w:r>
      <w:r>
        <w:t xml:space="preserve">tórnych dôvodoch zastavenia konania </w:t>
      </w:r>
      <w:r w:rsidR="009B03CA">
        <w:t>stanovených zákonom o príspevku z ĚSIF</w:t>
      </w:r>
      <w:r>
        <w:t xml:space="preserve">. </w:t>
      </w:r>
    </w:p>
    <w:p w14:paraId="088816BD" w14:textId="4383AC47" w:rsidR="009B03CA" w:rsidRDefault="00A77FE9" w:rsidP="00AA2878">
      <w:pPr>
        <w:ind w:left="567" w:hanging="567"/>
        <w:jc w:val="both"/>
      </w:pPr>
      <w:r>
        <w:t>2.</w:t>
      </w:r>
      <w:r>
        <w:tab/>
      </w:r>
      <w:r w:rsidR="00197B61">
        <w:t>Kapitola</w:t>
      </w:r>
      <w:r>
        <w:t xml:space="preserve"> 3.1.1.1 Zmena a zrušenie výzvy Systému riadenia EŠIF</w:t>
      </w:r>
      <w:r w:rsidR="00AF5B3D">
        <w:t xml:space="preserve"> </w:t>
      </w:r>
      <w:r>
        <w:t>sa</w:t>
      </w:r>
      <w:r w:rsidR="009B03CA">
        <w:t xml:space="preserve"> dopĺňa</w:t>
      </w:r>
      <w:r>
        <w:t xml:space="preserve"> nov</w:t>
      </w:r>
      <w:r w:rsidR="009B03CA">
        <w:t xml:space="preserve">ý odsek 10, ktorý znie: </w:t>
      </w:r>
    </w:p>
    <w:p w14:paraId="7B57D925" w14:textId="2D119F15" w:rsidR="009B03CA" w:rsidRDefault="009B03CA" w:rsidP="000F661D">
      <w:pPr>
        <w:spacing w:after="0"/>
        <w:ind w:left="567" w:firstLine="3"/>
        <w:jc w:val="both"/>
        <w:rPr>
          <w:i/>
        </w:rPr>
      </w:pPr>
      <w:r w:rsidRPr="009B03CA">
        <w:rPr>
          <w:i/>
        </w:rPr>
        <w:t>„Za rozhodnutie podľa odseku 4 sa nepovažuje rozhodnutie o zastavení konania, ktoré sa vydáva obligatórne v prípadoch, kedy nastane dôvod pre zastavenie konania,</w:t>
      </w:r>
      <w:r w:rsidR="00F521A6">
        <w:rPr>
          <w:i/>
        </w:rPr>
        <w:t xml:space="preserve"> a to,</w:t>
      </w:r>
      <w:r w:rsidRPr="009B03CA">
        <w:rPr>
          <w:i/>
        </w:rPr>
        <w:t xml:space="preserve"> ak žiadateľ vzal späť žiadosť, zomrel, bol vyhlásený za mŕtveho alebo zanikol bez právneho nástupcu alebo ďalších dôvodov stanovených zákonom o príspevku z</w:t>
      </w:r>
      <w:r w:rsidR="00F521A6">
        <w:rPr>
          <w:i/>
        </w:rPr>
        <w:t> </w:t>
      </w:r>
      <w:r w:rsidRPr="009B03CA">
        <w:rPr>
          <w:i/>
        </w:rPr>
        <w:t>EŠIF</w:t>
      </w:r>
      <w:r w:rsidR="00F521A6">
        <w:rPr>
          <w:i/>
        </w:rPr>
        <w:t>, na základe ktorých povinne dochádza k zastaveniu konania</w:t>
      </w:r>
      <w:r w:rsidRPr="009B03CA">
        <w:rPr>
          <w:i/>
        </w:rPr>
        <w:t>.“</w:t>
      </w:r>
    </w:p>
    <w:p w14:paraId="1810C46B" w14:textId="77777777" w:rsidR="000F661D" w:rsidRPr="009B03CA" w:rsidRDefault="000F661D" w:rsidP="000F661D">
      <w:pPr>
        <w:spacing w:after="0"/>
        <w:ind w:left="567" w:firstLine="3"/>
        <w:jc w:val="both"/>
        <w:rPr>
          <w:i/>
        </w:rPr>
      </w:pPr>
    </w:p>
    <w:p w14:paraId="2081A5D8" w14:textId="630DDA71" w:rsidR="0041379C" w:rsidRDefault="0041379C" w:rsidP="00284DC4">
      <w:pPr>
        <w:pStyle w:val="MPCKO1"/>
      </w:pPr>
      <w:bookmarkStart w:id="19" w:name="_Toc526861521"/>
      <w:bookmarkStart w:id="20" w:name="_Toc107581587"/>
      <w:r>
        <w:t xml:space="preserve">6  </w:t>
      </w:r>
      <w:bookmarkEnd w:id="19"/>
      <w:r w:rsidR="00AE631C">
        <w:t>Zoznam príloh</w:t>
      </w:r>
      <w:bookmarkEnd w:id="20"/>
    </w:p>
    <w:p w14:paraId="28C41B73" w14:textId="0CBE62A9" w:rsidR="0041379C" w:rsidRDefault="000F661D" w:rsidP="00AE631C">
      <w:pPr>
        <w:spacing w:before="120" w:after="300"/>
        <w:ind w:left="1260" w:hanging="1260"/>
        <w:jc w:val="both"/>
      </w:pPr>
      <w:r>
        <w:t xml:space="preserve">Príloha č. 1: </w:t>
      </w:r>
      <w:r w:rsidR="00C817E8">
        <w:t>Minimálne náležitosti písomného dodatku k zmluve o poskytnutí NFP vo vzťahu k poskytnutiu a používaniu dodatočného príspevku a s tým súvisiacim právam a povinnostiam poskytovateľa a prijímateľa.</w:t>
      </w:r>
    </w:p>
    <w:p w14:paraId="0441CA34" w14:textId="77777777" w:rsidR="0041379C" w:rsidRDefault="0041379C" w:rsidP="00515F01">
      <w:pPr>
        <w:pStyle w:val="Odsekzoznamu"/>
        <w:spacing w:before="120" w:after="120"/>
        <w:ind w:left="425"/>
        <w:contextualSpacing w:val="0"/>
        <w:jc w:val="both"/>
      </w:pPr>
    </w:p>
    <w:sectPr w:rsidR="0041379C" w:rsidSect="00D46558">
      <w:headerReference w:type="default" r:id="rId10"/>
      <w:footerReference w:type="default" r:id="rId11"/>
      <w:type w:val="continuous"/>
      <w:pgSz w:w="11906" w:h="16838" w:code="9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B857EE7" w16cid:durableId="3B1B94AF"/>
  <w16cid:commentId w16cid:paraId="4D107FFB" w16cid:durableId="57A9D666"/>
  <w16cid:commentId w16cid:paraId="2FCFBE08" w16cid:durableId="2AF42838"/>
  <w16cid:commentId w16cid:paraId="57AFC0B5" w16cid:durableId="3011A10C"/>
  <w16cid:commentId w16cid:paraId="2078EDA0" w16cid:durableId="723526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1560D" w14:textId="77777777" w:rsidR="00F25E6E" w:rsidRDefault="00F25E6E" w:rsidP="00B948E0">
      <w:r>
        <w:separator/>
      </w:r>
    </w:p>
  </w:endnote>
  <w:endnote w:type="continuationSeparator" w:id="0">
    <w:p w14:paraId="66F190C7" w14:textId="77777777" w:rsidR="00F25E6E" w:rsidRDefault="00F25E6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573969"/>
      <w:docPartObj>
        <w:docPartGallery w:val="Page Numbers (Bottom of Page)"/>
        <w:docPartUnique/>
      </w:docPartObj>
    </w:sdtPr>
    <w:sdtEndPr/>
    <w:sdtContent>
      <w:p w14:paraId="66C856A4" w14:textId="77777777" w:rsidR="0027120B" w:rsidRPr="00E87B39" w:rsidRDefault="0027120B" w:rsidP="00E87B39">
        <w:pPr>
          <w:pStyle w:val="Pta"/>
          <w:jc w:val="right"/>
        </w:pPr>
        <w:r w:rsidRPr="00E87B39">
          <w:rPr>
            <w:noProof/>
            <w:lang w:eastAsia="sk-SK"/>
          </w:rPr>
          <mc:AlternateContent>
            <mc:Choice Requires="wps">
              <w:drawing>
                <wp:anchor distT="0" distB="0" distL="114300" distR="114300" simplePos="0" relativeHeight="251655168" behindDoc="0" locked="0" layoutInCell="1" allowOverlap="1" wp14:anchorId="5F6ECFA4" wp14:editId="3920A72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151130</wp:posOffset>
                  </wp:positionV>
                  <wp:extent cx="5762625" cy="9525"/>
                  <wp:effectExtent l="57150" t="38100" r="47625" b="85725"/>
                  <wp:wrapNone/>
                  <wp:docPr id="4" name="Rovná spojnica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762625" cy="9525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a="http://schemas.openxmlformats.org/drawingml/2006/main" xmlns:pic="http://schemas.openxmlformats.org/drawingml/2006/picture" xmlns:a14="http://schemas.microsoft.com/office/drawing/2010/main">
              <w:pict w14:anchorId="091A1797">
                <v:line id="Rovná spojnica 4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79646 [3209]" strokeweight="3pt" from="-.35pt,11.9pt" to="453.4pt,12.65pt" w14:anchorId="1AD43A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">
                  <v:shadow on="t" color="black" opacity="22937f" offset="0,.63889mm" origin=",.5"/>
                </v:line>
              </w:pict>
            </mc:Fallback>
          </mc:AlternateContent>
        </w:r>
        <w:r w:rsidRPr="00E87B39">
          <w:t xml:space="preserve"> </w:t>
        </w:r>
      </w:p>
      <w:p w14:paraId="2EB0C797" w14:textId="1C887B71" w:rsidR="0027120B" w:rsidRPr="00E87B39" w:rsidRDefault="0027120B" w:rsidP="00E87B39">
        <w:pPr>
          <w:tabs>
            <w:tab w:val="center" w:pos="4536"/>
            <w:tab w:val="right" w:pos="9072"/>
          </w:tabs>
          <w:jc w:val="right"/>
        </w:pPr>
        <w:r w:rsidRPr="00E87B39">
          <w:rPr>
            <w:noProof/>
            <w:lang w:eastAsia="sk-SK"/>
          </w:rPr>
          <w:drawing>
            <wp:anchor distT="0" distB="0" distL="114300" distR="114300" simplePos="0" relativeHeight="251656192" behindDoc="1" locked="0" layoutInCell="1" allowOverlap="1" wp14:anchorId="34B9AEE8" wp14:editId="5277BA0B">
              <wp:simplePos x="0" y="0"/>
              <wp:positionH relativeFrom="column">
                <wp:posOffset>71755</wp:posOffset>
              </wp:positionH>
              <wp:positionV relativeFrom="paragraph">
                <wp:posOffset>53340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87B39">
          <w:t xml:space="preserve">Strana </w:t>
        </w:r>
        <w:sdt>
          <w:sdtPr>
            <w:id w:val="320479949"/>
            <w:docPartObj>
              <w:docPartGallery w:val="Page Numbers (Bottom of Page)"/>
              <w:docPartUnique/>
            </w:docPartObj>
          </w:sdtPr>
          <w:sdtEndPr/>
          <w:sdtContent>
            <w:r w:rsidRPr="00E87B39">
              <w:fldChar w:fldCharType="begin"/>
            </w:r>
            <w:r w:rsidRPr="00E87B39">
              <w:instrText>PAGE   \* MERGEFORMAT</w:instrText>
            </w:r>
            <w:r w:rsidRPr="00E87B39">
              <w:fldChar w:fldCharType="separate"/>
            </w:r>
            <w:r w:rsidR="003824EF">
              <w:rPr>
                <w:noProof/>
              </w:rPr>
              <w:t>9</w:t>
            </w:r>
            <w:r w:rsidRPr="00E87B39">
              <w:fldChar w:fldCharType="end"/>
            </w:r>
          </w:sdtContent>
        </w:sdt>
      </w:p>
      <w:p w14:paraId="4EE5C8EA" w14:textId="77777777" w:rsidR="0027120B" w:rsidRPr="00E87B39" w:rsidRDefault="00F25E6E" w:rsidP="00E87B39">
        <w:pPr>
          <w:tabs>
            <w:tab w:val="center" w:pos="4536"/>
            <w:tab w:val="right" w:pos="9072"/>
          </w:tabs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796D1" w14:textId="77777777" w:rsidR="00F25E6E" w:rsidRDefault="00F25E6E" w:rsidP="00B948E0">
      <w:r>
        <w:separator/>
      </w:r>
    </w:p>
  </w:footnote>
  <w:footnote w:type="continuationSeparator" w:id="0">
    <w:p w14:paraId="1C67A574" w14:textId="77777777" w:rsidR="00F25E6E" w:rsidRDefault="00F25E6E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9460D" w14:textId="77777777" w:rsidR="0027120B" w:rsidRDefault="0027120B" w:rsidP="00E87B39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A4A0CC" wp14:editId="62C52825">
              <wp:simplePos x="0" y="0"/>
              <wp:positionH relativeFrom="column">
                <wp:posOffset>-4445</wp:posOffset>
              </wp:positionH>
              <wp:positionV relativeFrom="paragraph">
                <wp:posOffset>211455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60168B" id="Rovná spojnica 6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6.65pt" to="453.4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" strokecolor="#f79646 [3209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 w:cs="Times New Roman"/>
        <w:szCs w:val="20"/>
      </w:rPr>
      <w:id w:val="-1944834786"/>
      <w:date w:fullDate="2022-07-01T00:00:00Z">
        <w:dateFormat w:val="dd.MM.yyyy"/>
        <w:lid w:val="sk-SK"/>
        <w:storeMappedDataAs w:val="dateTime"/>
        <w:calendar w:val="gregorian"/>
      </w:date>
    </w:sdtPr>
    <w:sdtEndPr/>
    <w:sdtContent>
      <w:p w14:paraId="7613FB7D" w14:textId="06929502" w:rsidR="0027120B" w:rsidRDefault="00FE19BA" w:rsidP="003824EF">
        <w:pPr>
          <w:pStyle w:val="Hlavika"/>
          <w:jc w:val="right"/>
        </w:pPr>
        <w:r w:rsidRPr="00FE19BA">
          <w:rPr>
            <w:rFonts w:ascii="Times New Roman" w:hAnsi="Times New Roman" w:cs="Times New Roman"/>
            <w:szCs w:val="20"/>
          </w:rPr>
          <w:t>01.07.2022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1834"/>
    <w:multiLevelType w:val="hybridMultilevel"/>
    <w:tmpl w:val="7E10C13C"/>
    <w:lvl w:ilvl="0" w:tplc="CFA207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D6D0F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C3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08571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AE78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18F8E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A8E1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A4E1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5C4E5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3548B"/>
    <w:multiLevelType w:val="hybridMultilevel"/>
    <w:tmpl w:val="9B12A0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51B1F"/>
    <w:multiLevelType w:val="hybridMultilevel"/>
    <w:tmpl w:val="5D6C7832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AF048DE"/>
    <w:multiLevelType w:val="hybridMultilevel"/>
    <w:tmpl w:val="1EAAE3AC"/>
    <w:lvl w:ilvl="0" w:tplc="7EC4BF80">
      <w:start w:val="3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E8405DE"/>
    <w:multiLevelType w:val="hybridMultilevel"/>
    <w:tmpl w:val="59E05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85BBC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37B86"/>
    <w:multiLevelType w:val="hybridMultilevel"/>
    <w:tmpl w:val="3F06460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E65196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45C0D"/>
    <w:multiLevelType w:val="hybridMultilevel"/>
    <w:tmpl w:val="48565C04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E35613"/>
    <w:multiLevelType w:val="hybridMultilevel"/>
    <w:tmpl w:val="9B12A0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727C4"/>
    <w:multiLevelType w:val="multilevel"/>
    <w:tmpl w:val="7690E8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E2689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777F3"/>
    <w:multiLevelType w:val="hybridMultilevel"/>
    <w:tmpl w:val="D4404B7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3E4DF2">
      <w:start w:val="1"/>
      <w:numFmt w:val="lowerLetter"/>
      <w:lvlText w:val="%3.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940045"/>
    <w:multiLevelType w:val="hybridMultilevel"/>
    <w:tmpl w:val="0D7A57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82641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D0D61"/>
    <w:multiLevelType w:val="hybridMultilevel"/>
    <w:tmpl w:val="60A65F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D39E3"/>
    <w:multiLevelType w:val="multilevel"/>
    <w:tmpl w:val="CDEEC0F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3FF978EC"/>
    <w:multiLevelType w:val="hybridMultilevel"/>
    <w:tmpl w:val="A39660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256A4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15EE4"/>
    <w:multiLevelType w:val="hybridMultilevel"/>
    <w:tmpl w:val="2698E7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26DFA"/>
    <w:multiLevelType w:val="hybridMultilevel"/>
    <w:tmpl w:val="04C8D7D6"/>
    <w:lvl w:ilvl="0" w:tplc="D812B8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CC9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76ACF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2304F"/>
    <w:multiLevelType w:val="hybridMultilevel"/>
    <w:tmpl w:val="2F7652B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82042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6A54E9"/>
    <w:multiLevelType w:val="hybridMultilevel"/>
    <w:tmpl w:val="5D6C7832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74CD24C6"/>
    <w:multiLevelType w:val="hybridMultilevel"/>
    <w:tmpl w:val="AAF89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669CC"/>
    <w:multiLevelType w:val="hybridMultilevel"/>
    <w:tmpl w:val="60A65F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E3B2D"/>
    <w:multiLevelType w:val="hybridMultilevel"/>
    <w:tmpl w:val="2C9E385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9C13EB4"/>
    <w:multiLevelType w:val="hybridMultilevel"/>
    <w:tmpl w:val="2BE692E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28"/>
  </w:num>
  <w:num w:numId="4">
    <w:abstractNumId w:val="11"/>
  </w:num>
  <w:num w:numId="5">
    <w:abstractNumId w:val="18"/>
  </w:num>
  <w:num w:numId="6">
    <w:abstractNumId w:val="27"/>
  </w:num>
  <w:num w:numId="7">
    <w:abstractNumId w:val="14"/>
  </w:num>
  <w:num w:numId="8">
    <w:abstractNumId w:val="4"/>
  </w:num>
  <w:num w:numId="9">
    <w:abstractNumId w:val="22"/>
  </w:num>
  <w:num w:numId="10">
    <w:abstractNumId w:val="1"/>
  </w:num>
  <w:num w:numId="11">
    <w:abstractNumId w:val="26"/>
  </w:num>
  <w:num w:numId="12">
    <w:abstractNumId w:val="24"/>
  </w:num>
  <w:num w:numId="13">
    <w:abstractNumId w:val="21"/>
  </w:num>
  <w:num w:numId="14">
    <w:abstractNumId w:val="8"/>
  </w:num>
  <w:num w:numId="15">
    <w:abstractNumId w:val="6"/>
  </w:num>
  <w:num w:numId="16">
    <w:abstractNumId w:val="29"/>
  </w:num>
  <w:num w:numId="17">
    <w:abstractNumId w:val="2"/>
  </w:num>
  <w:num w:numId="18">
    <w:abstractNumId w:val="16"/>
  </w:num>
  <w:num w:numId="19">
    <w:abstractNumId w:val="12"/>
  </w:num>
  <w:num w:numId="20">
    <w:abstractNumId w:val="9"/>
  </w:num>
  <w:num w:numId="21">
    <w:abstractNumId w:val="10"/>
  </w:num>
  <w:num w:numId="22">
    <w:abstractNumId w:val="7"/>
  </w:num>
  <w:num w:numId="23">
    <w:abstractNumId w:val="17"/>
  </w:num>
  <w:num w:numId="24">
    <w:abstractNumId w:val="20"/>
  </w:num>
  <w:num w:numId="25">
    <w:abstractNumId w:val="15"/>
  </w:num>
  <w:num w:numId="26">
    <w:abstractNumId w:val="0"/>
  </w:num>
  <w:num w:numId="27">
    <w:abstractNumId w:val="3"/>
  </w:num>
  <w:num w:numId="28">
    <w:abstractNumId w:val="13"/>
  </w:num>
  <w:num w:numId="29">
    <w:abstractNumId w:val="23"/>
  </w:num>
  <w:num w:numId="30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0C4"/>
    <w:rsid w:val="00004ADD"/>
    <w:rsid w:val="000069D7"/>
    <w:rsid w:val="00006A25"/>
    <w:rsid w:val="00010C1C"/>
    <w:rsid w:val="00014E96"/>
    <w:rsid w:val="00024215"/>
    <w:rsid w:val="00035F55"/>
    <w:rsid w:val="000362BA"/>
    <w:rsid w:val="000372B0"/>
    <w:rsid w:val="0003757B"/>
    <w:rsid w:val="000417B5"/>
    <w:rsid w:val="00041BE8"/>
    <w:rsid w:val="00042684"/>
    <w:rsid w:val="00042F54"/>
    <w:rsid w:val="000440BA"/>
    <w:rsid w:val="00044491"/>
    <w:rsid w:val="00046946"/>
    <w:rsid w:val="000505C4"/>
    <w:rsid w:val="00050728"/>
    <w:rsid w:val="0005107F"/>
    <w:rsid w:val="000515E0"/>
    <w:rsid w:val="00053B10"/>
    <w:rsid w:val="00053F67"/>
    <w:rsid w:val="0005498E"/>
    <w:rsid w:val="0005642E"/>
    <w:rsid w:val="000616A3"/>
    <w:rsid w:val="000637AE"/>
    <w:rsid w:val="000637C7"/>
    <w:rsid w:val="00066955"/>
    <w:rsid w:val="000669EA"/>
    <w:rsid w:val="00066AD4"/>
    <w:rsid w:val="00067C16"/>
    <w:rsid w:val="00067CB4"/>
    <w:rsid w:val="00067E28"/>
    <w:rsid w:val="000707AE"/>
    <w:rsid w:val="00071088"/>
    <w:rsid w:val="00075CC5"/>
    <w:rsid w:val="00076CD3"/>
    <w:rsid w:val="00077310"/>
    <w:rsid w:val="000810F8"/>
    <w:rsid w:val="0008362E"/>
    <w:rsid w:val="00083924"/>
    <w:rsid w:val="00091259"/>
    <w:rsid w:val="00091D72"/>
    <w:rsid w:val="00092065"/>
    <w:rsid w:val="00093B3B"/>
    <w:rsid w:val="0009599E"/>
    <w:rsid w:val="000A5922"/>
    <w:rsid w:val="000A5C90"/>
    <w:rsid w:val="000B4621"/>
    <w:rsid w:val="000B6678"/>
    <w:rsid w:val="000B79E1"/>
    <w:rsid w:val="000C1546"/>
    <w:rsid w:val="000C3E87"/>
    <w:rsid w:val="000C472B"/>
    <w:rsid w:val="000C4E06"/>
    <w:rsid w:val="000C5C64"/>
    <w:rsid w:val="000C722C"/>
    <w:rsid w:val="000C7C7F"/>
    <w:rsid w:val="000D06BE"/>
    <w:rsid w:val="000D17E5"/>
    <w:rsid w:val="000D232B"/>
    <w:rsid w:val="000D298C"/>
    <w:rsid w:val="000D42BA"/>
    <w:rsid w:val="000D55C0"/>
    <w:rsid w:val="000D55FF"/>
    <w:rsid w:val="000D5637"/>
    <w:rsid w:val="000D64D2"/>
    <w:rsid w:val="000D6B86"/>
    <w:rsid w:val="000D7FBF"/>
    <w:rsid w:val="000E0BAA"/>
    <w:rsid w:val="000E0FD5"/>
    <w:rsid w:val="000E2AA4"/>
    <w:rsid w:val="000E6CF8"/>
    <w:rsid w:val="000F37A6"/>
    <w:rsid w:val="000F3900"/>
    <w:rsid w:val="000F4124"/>
    <w:rsid w:val="000F563C"/>
    <w:rsid w:val="000F661D"/>
    <w:rsid w:val="00100AFE"/>
    <w:rsid w:val="001014AE"/>
    <w:rsid w:val="0010268D"/>
    <w:rsid w:val="00103B26"/>
    <w:rsid w:val="00103F4F"/>
    <w:rsid w:val="00106956"/>
    <w:rsid w:val="001109DA"/>
    <w:rsid w:val="00111EB8"/>
    <w:rsid w:val="0011576A"/>
    <w:rsid w:val="00116B27"/>
    <w:rsid w:val="00116F61"/>
    <w:rsid w:val="00121513"/>
    <w:rsid w:val="00121F59"/>
    <w:rsid w:val="0012210D"/>
    <w:rsid w:val="00122D6F"/>
    <w:rsid w:val="00123E86"/>
    <w:rsid w:val="001251BE"/>
    <w:rsid w:val="00125671"/>
    <w:rsid w:val="00127A96"/>
    <w:rsid w:val="00133056"/>
    <w:rsid w:val="001331EF"/>
    <w:rsid w:val="001334F1"/>
    <w:rsid w:val="00135B46"/>
    <w:rsid w:val="001375DC"/>
    <w:rsid w:val="001412F5"/>
    <w:rsid w:val="00141B97"/>
    <w:rsid w:val="001429E7"/>
    <w:rsid w:val="00142A86"/>
    <w:rsid w:val="0014641E"/>
    <w:rsid w:val="00146721"/>
    <w:rsid w:val="00146E8B"/>
    <w:rsid w:val="00146E99"/>
    <w:rsid w:val="001471DB"/>
    <w:rsid w:val="00147345"/>
    <w:rsid w:val="0015233E"/>
    <w:rsid w:val="001542EF"/>
    <w:rsid w:val="0015601A"/>
    <w:rsid w:val="001569B3"/>
    <w:rsid w:val="00156ECC"/>
    <w:rsid w:val="00157477"/>
    <w:rsid w:val="001651C6"/>
    <w:rsid w:val="001668C6"/>
    <w:rsid w:val="0016695B"/>
    <w:rsid w:val="00166989"/>
    <w:rsid w:val="0016795E"/>
    <w:rsid w:val="00167A39"/>
    <w:rsid w:val="00167B98"/>
    <w:rsid w:val="00167E3B"/>
    <w:rsid w:val="00171B09"/>
    <w:rsid w:val="00171F83"/>
    <w:rsid w:val="00172CE5"/>
    <w:rsid w:val="00173917"/>
    <w:rsid w:val="001744E9"/>
    <w:rsid w:val="001746B9"/>
    <w:rsid w:val="00176128"/>
    <w:rsid w:val="0017695A"/>
    <w:rsid w:val="00177819"/>
    <w:rsid w:val="001873B5"/>
    <w:rsid w:val="0018749F"/>
    <w:rsid w:val="001877C4"/>
    <w:rsid w:val="00190651"/>
    <w:rsid w:val="00191573"/>
    <w:rsid w:val="00194E5B"/>
    <w:rsid w:val="001958A1"/>
    <w:rsid w:val="00197B61"/>
    <w:rsid w:val="001A0237"/>
    <w:rsid w:val="001A0E61"/>
    <w:rsid w:val="001A1CB2"/>
    <w:rsid w:val="001A3F86"/>
    <w:rsid w:val="001A690D"/>
    <w:rsid w:val="001A7BF2"/>
    <w:rsid w:val="001B12DC"/>
    <w:rsid w:val="001B1EE6"/>
    <w:rsid w:val="001B27DA"/>
    <w:rsid w:val="001B2ADD"/>
    <w:rsid w:val="001B3C1D"/>
    <w:rsid w:val="001B47D0"/>
    <w:rsid w:val="001B4F9C"/>
    <w:rsid w:val="001B57FA"/>
    <w:rsid w:val="001B6E9F"/>
    <w:rsid w:val="001B77D9"/>
    <w:rsid w:val="001C513F"/>
    <w:rsid w:val="001C7D97"/>
    <w:rsid w:val="001D3888"/>
    <w:rsid w:val="001D4AFA"/>
    <w:rsid w:val="001D4B25"/>
    <w:rsid w:val="001D66E3"/>
    <w:rsid w:val="001E52C0"/>
    <w:rsid w:val="001E6228"/>
    <w:rsid w:val="001F0193"/>
    <w:rsid w:val="001F16CD"/>
    <w:rsid w:val="001F20CC"/>
    <w:rsid w:val="001F2F0C"/>
    <w:rsid w:val="001F3C37"/>
    <w:rsid w:val="001F5DAE"/>
    <w:rsid w:val="0020102A"/>
    <w:rsid w:val="0020352D"/>
    <w:rsid w:val="0020440B"/>
    <w:rsid w:val="00212F15"/>
    <w:rsid w:val="002131E8"/>
    <w:rsid w:val="00216B1A"/>
    <w:rsid w:val="0022292E"/>
    <w:rsid w:val="002259C4"/>
    <w:rsid w:val="00225A05"/>
    <w:rsid w:val="00226A79"/>
    <w:rsid w:val="00227443"/>
    <w:rsid w:val="00227775"/>
    <w:rsid w:val="00230080"/>
    <w:rsid w:val="002366FC"/>
    <w:rsid w:val="00237204"/>
    <w:rsid w:val="00243C1C"/>
    <w:rsid w:val="002449BE"/>
    <w:rsid w:val="00246970"/>
    <w:rsid w:val="00251187"/>
    <w:rsid w:val="00252AC1"/>
    <w:rsid w:val="00256687"/>
    <w:rsid w:val="002630BD"/>
    <w:rsid w:val="0027120B"/>
    <w:rsid w:val="002737FD"/>
    <w:rsid w:val="00273A71"/>
    <w:rsid w:val="00274479"/>
    <w:rsid w:val="0027516C"/>
    <w:rsid w:val="00280182"/>
    <w:rsid w:val="002808D5"/>
    <w:rsid w:val="00280D2B"/>
    <w:rsid w:val="00281518"/>
    <w:rsid w:val="002819FA"/>
    <w:rsid w:val="00284DC4"/>
    <w:rsid w:val="00285B8F"/>
    <w:rsid w:val="002866AB"/>
    <w:rsid w:val="00286C1F"/>
    <w:rsid w:val="00286DC0"/>
    <w:rsid w:val="00290915"/>
    <w:rsid w:val="00291259"/>
    <w:rsid w:val="00292243"/>
    <w:rsid w:val="00293AA5"/>
    <w:rsid w:val="00296796"/>
    <w:rsid w:val="002A19DC"/>
    <w:rsid w:val="002A1E17"/>
    <w:rsid w:val="002A4726"/>
    <w:rsid w:val="002A5CB1"/>
    <w:rsid w:val="002A7F89"/>
    <w:rsid w:val="002B1F1E"/>
    <w:rsid w:val="002B27DD"/>
    <w:rsid w:val="002B35AD"/>
    <w:rsid w:val="002B5FA4"/>
    <w:rsid w:val="002B7880"/>
    <w:rsid w:val="002C096A"/>
    <w:rsid w:val="002C1094"/>
    <w:rsid w:val="002C2A47"/>
    <w:rsid w:val="002C2DDF"/>
    <w:rsid w:val="002C406B"/>
    <w:rsid w:val="002C45CB"/>
    <w:rsid w:val="002D103D"/>
    <w:rsid w:val="002D1668"/>
    <w:rsid w:val="002D1D62"/>
    <w:rsid w:val="002D2A83"/>
    <w:rsid w:val="002D3BB7"/>
    <w:rsid w:val="002D5942"/>
    <w:rsid w:val="002D65BD"/>
    <w:rsid w:val="002D6ED2"/>
    <w:rsid w:val="002D74A6"/>
    <w:rsid w:val="002E3808"/>
    <w:rsid w:val="002E3819"/>
    <w:rsid w:val="002E3913"/>
    <w:rsid w:val="002E421D"/>
    <w:rsid w:val="002E6087"/>
    <w:rsid w:val="002E611C"/>
    <w:rsid w:val="002E7E8D"/>
    <w:rsid w:val="002E7F32"/>
    <w:rsid w:val="002E7F66"/>
    <w:rsid w:val="002F0784"/>
    <w:rsid w:val="002F204E"/>
    <w:rsid w:val="002F2A85"/>
    <w:rsid w:val="002F3B7D"/>
    <w:rsid w:val="002F420C"/>
    <w:rsid w:val="0030206C"/>
    <w:rsid w:val="00302376"/>
    <w:rsid w:val="00304A4F"/>
    <w:rsid w:val="003073F8"/>
    <w:rsid w:val="00312A4C"/>
    <w:rsid w:val="00313B23"/>
    <w:rsid w:val="00315391"/>
    <w:rsid w:val="00315501"/>
    <w:rsid w:val="00325A38"/>
    <w:rsid w:val="003261B6"/>
    <w:rsid w:val="003278EE"/>
    <w:rsid w:val="00327C78"/>
    <w:rsid w:val="00331157"/>
    <w:rsid w:val="0033624C"/>
    <w:rsid w:val="003362EA"/>
    <w:rsid w:val="0034008F"/>
    <w:rsid w:val="003411AC"/>
    <w:rsid w:val="00342652"/>
    <w:rsid w:val="003437EB"/>
    <w:rsid w:val="00352617"/>
    <w:rsid w:val="00354C90"/>
    <w:rsid w:val="003551FF"/>
    <w:rsid w:val="0035558E"/>
    <w:rsid w:val="00355878"/>
    <w:rsid w:val="0035797F"/>
    <w:rsid w:val="00360695"/>
    <w:rsid w:val="00360C1F"/>
    <w:rsid w:val="0036284D"/>
    <w:rsid w:val="0036380F"/>
    <w:rsid w:val="00365262"/>
    <w:rsid w:val="00366198"/>
    <w:rsid w:val="003664D6"/>
    <w:rsid w:val="00367DEB"/>
    <w:rsid w:val="00372E79"/>
    <w:rsid w:val="003733F4"/>
    <w:rsid w:val="003739C6"/>
    <w:rsid w:val="00380D32"/>
    <w:rsid w:val="003824EF"/>
    <w:rsid w:val="00382C16"/>
    <w:rsid w:val="00384719"/>
    <w:rsid w:val="00386482"/>
    <w:rsid w:val="00386CBA"/>
    <w:rsid w:val="00390868"/>
    <w:rsid w:val="00393784"/>
    <w:rsid w:val="003941B3"/>
    <w:rsid w:val="003A421A"/>
    <w:rsid w:val="003A456A"/>
    <w:rsid w:val="003A52FC"/>
    <w:rsid w:val="003A5FE4"/>
    <w:rsid w:val="003A67E1"/>
    <w:rsid w:val="003A7581"/>
    <w:rsid w:val="003B0DFE"/>
    <w:rsid w:val="003B2F61"/>
    <w:rsid w:val="003B2F8A"/>
    <w:rsid w:val="003B4719"/>
    <w:rsid w:val="003B4B73"/>
    <w:rsid w:val="003B6293"/>
    <w:rsid w:val="003B74ED"/>
    <w:rsid w:val="003B7B49"/>
    <w:rsid w:val="003C0C48"/>
    <w:rsid w:val="003C1913"/>
    <w:rsid w:val="003C2544"/>
    <w:rsid w:val="003C29AF"/>
    <w:rsid w:val="003C2FE3"/>
    <w:rsid w:val="003D0150"/>
    <w:rsid w:val="003D0AFE"/>
    <w:rsid w:val="003D15DC"/>
    <w:rsid w:val="003D4FA5"/>
    <w:rsid w:val="003D568C"/>
    <w:rsid w:val="003E1D17"/>
    <w:rsid w:val="003E2D61"/>
    <w:rsid w:val="003E5844"/>
    <w:rsid w:val="003E596F"/>
    <w:rsid w:val="003E6584"/>
    <w:rsid w:val="003F0D0B"/>
    <w:rsid w:val="003F2957"/>
    <w:rsid w:val="003F452E"/>
    <w:rsid w:val="003F6228"/>
    <w:rsid w:val="003F733A"/>
    <w:rsid w:val="00401849"/>
    <w:rsid w:val="00401947"/>
    <w:rsid w:val="00401FD6"/>
    <w:rsid w:val="004053DD"/>
    <w:rsid w:val="0040794F"/>
    <w:rsid w:val="004102E7"/>
    <w:rsid w:val="0041379C"/>
    <w:rsid w:val="00416E2D"/>
    <w:rsid w:val="0041749D"/>
    <w:rsid w:val="00417B04"/>
    <w:rsid w:val="00417E69"/>
    <w:rsid w:val="00427918"/>
    <w:rsid w:val="00427F84"/>
    <w:rsid w:val="00432AF0"/>
    <w:rsid w:val="00432DF1"/>
    <w:rsid w:val="00434AA1"/>
    <w:rsid w:val="0043576D"/>
    <w:rsid w:val="00442D4B"/>
    <w:rsid w:val="0044305D"/>
    <w:rsid w:val="004445A9"/>
    <w:rsid w:val="00445941"/>
    <w:rsid w:val="004472DB"/>
    <w:rsid w:val="00447B09"/>
    <w:rsid w:val="00450E3A"/>
    <w:rsid w:val="0045159A"/>
    <w:rsid w:val="00451683"/>
    <w:rsid w:val="00452BBF"/>
    <w:rsid w:val="00453C0B"/>
    <w:rsid w:val="00460762"/>
    <w:rsid w:val="00460A1D"/>
    <w:rsid w:val="00460AE2"/>
    <w:rsid w:val="00460F75"/>
    <w:rsid w:val="00470175"/>
    <w:rsid w:val="004703D0"/>
    <w:rsid w:val="004731BA"/>
    <w:rsid w:val="00474C21"/>
    <w:rsid w:val="00474DC3"/>
    <w:rsid w:val="004752BE"/>
    <w:rsid w:val="00476021"/>
    <w:rsid w:val="004768A4"/>
    <w:rsid w:val="00477B8E"/>
    <w:rsid w:val="00485154"/>
    <w:rsid w:val="004861ED"/>
    <w:rsid w:val="00490AF9"/>
    <w:rsid w:val="00491AD9"/>
    <w:rsid w:val="00491DC4"/>
    <w:rsid w:val="00492026"/>
    <w:rsid w:val="00493812"/>
    <w:rsid w:val="00493F0A"/>
    <w:rsid w:val="004942D2"/>
    <w:rsid w:val="0049473E"/>
    <w:rsid w:val="0049692F"/>
    <w:rsid w:val="00496B2D"/>
    <w:rsid w:val="00497887"/>
    <w:rsid w:val="00497945"/>
    <w:rsid w:val="004A0829"/>
    <w:rsid w:val="004A148E"/>
    <w:rsid w:val="004A1C5C"/>
    <w:rsid w:val="004B14F4"/>
    <w:rsid w:val="004B3500"/>
    <w:rsid w:val="004B3F17"/>
    <w:rsid w:val="004B4782"/>
    <w:rsid w:val="004B6BC3"/>
    <w:rsid w:val="004B7185"/>
    <w:rsid w:val="004C1071"/>
    <w:rsid w:val="004C6FEA"/>
    <w:rsid w:val="004C76BD"/>
    <w:rsid w:val="004D1C74"/>
    <w:rsid w:val="004D3857"/>
    <w:rsid w:val="004D580C"/>
    <w:rsid w:val="004D6B0B"/>
    <w:rsid w:val="004D7C98"/>
    <w:rsid w:val="004E02D7"/>
    <w:rsid w:val="004E06B1"/>
    <w:rsid w:val="004E18CE"/>
    <w:rsid w:val="004E2120"/>
    <w:rsid w:val="004E26D6"/>
    <w:rsid w:val="004E2885"/>
    <w:rsid w:val="004E3ABD"/>
    <w:rsid w:val="004E47D7"/>
    <w:rsid w:val="004E51D7"/>
    <w:rsid w:val="004E5A12"/>
    <w:rsid w:val="004E63EC"/>
    <w:rsid w:val="004E710F"/>
    <w:rsid w:val="004F36D4"/>
    <w:rsid w:val="004F3A32"/>
    <w:rsid w:val="004F4AC5"/>
    <w:rsid w:val="004F5CFD"/>
    <w:rsid w:val="004F7FDF"/>
    <w:rsid w:val="005000E3"/>
    <w:rsid w:val="00500DBE"/>
    <w:rsid w:val="005037B0"/>
    <w:rsid w:val="0050381B"/>
    <w:rsid w:val="00506FA9"/>
    <w:rsid w:val="005122F6"/>
    <w:rsid w:val="00512B25"/>
    <w:rsid w:val="00514914"/>
    <w:rsid w:val="00515EF2"/>
    <w:rsid w:val="00515F01"/>
    <w:rsid w:val="005214CA"/>
    <w:rsid w:val="0052338F"/>
    <w:rsid w:val="005237BA"/>
    <w:rsid w:val="00525039"/>
    <w:rsid w:val="005257B4"/>
    <w:rsid w:val="005300C6"/>
    <w:rsid w:val="00531295"/>
    <w:rsid w:val="0053177D"/>
    <w:rsid w:val="005318DC"/>
    <w:rsid w:val="00532DF7"/>
    <w:rsid w:val="00534926"/>
    <w:rsid w:val="0053623B"/>
    <w:rsid w:val="00541FF5"/>
    <w:rsid w:val="005426E0"/>
    <w:rsid w:val="005451DC"/>
    <w:rsid w:val="0054593A"/>
    <w:rsid w:val="005468BC"/>
    <w:rsid w:val="00546FE8"/>
    <w:rsid w:val="00550627"/>
    <w:rsid w:val="00552277"/>
    <w:rsid w:val="00554E89"/>
    <w:rsid w:val="005556C3"/>
    <w:rsid w:val="005635FE"/>
    <w:rsid w:val="005639B4"/>
    <w:rsid w:val="0056486C"/>
    <w:rsid w:val="005701C7"/>
    <w:rsid w:val="00570762"/>
    <w:rsid w:val="00572E32"/>
    <w:rsid w:val="00572F4D"/>
    <w:rsid w:val="005730AB"/>
    <w:rsid w:val="00573F98"/>
    <w:rsid w:val="005751F0"/>
    <w:rsid w:val="005752AA"/>
    <w:rsid w:val="00575652"/>
    <w:rsid w:val="00576BB3"/>
    <w:rsid w:val="00576C6F"/>
    <w:rsid w:val="00576D0C"/>
    <w:rsid w:val="005800C7"/>
    <w:rsid w:val="00580A58"/>
    <w:rsid w:val="00581FDB"/>
    <w:rsid w:val="00585A38"/>
    <w:rsid w:val="00586311"/>
    <w:rsid w:val="00586FDB"/>
    <w:rsid w:val="005874AC"/>
    <w:rsid w:val="00590B84"/>
    <w:rsid w:val="00591B81"/>
    <w:rsid w:val="005922D0"/>
    <w:rsid w:val="005935A0"/>
    <w:rsid w:val="00594B95"/>
    <w:rsid w:val="0059551F"/>
    <w:rsid w:val="00595E6A"/>
    <w:rsid w:val="00595EF2"/>
    <w:rsid w:val="00596476"/>
    <w:rsid w:val="00596BA8"/>
    <w:rsid w:val="00597E7B"/>
    <w:rsid w:val="005A2D43"/>
    <w:rsid w:val="005A3A63"/>
    <w:rsid w:val="005A52BA"/>
    <w:rsid w:val="005A5C22"/>
    <w:rsid w:val="005A5CDF"/>
    <w:rsid w:val="005A7924"/>
    <w:rsid w:val="005B04B2"/>
    <w:rsid w:val="005B0CDF"/>
    <w:rsid w:val="005B1586"/>
    <w:rsid w:val="005B2A1A"/>
    <w:rsid w:val="005B324F"/>
    <w:rsid w:val="005B3326"/>
    <w:rsid w:val="005B3B16"/>
    <w:rsid w:val="005B49EF"/>
    <w:rsid w:val="005B5052"/>
    <w:rsid w:val="005B7037"/>
    <w:rsid w:val="005C0BF7"/>
    <w:rsid w:val="005C2C75"/>
    <w:rsid w:val="005C35FF"/>
    <w:rsid w:val="005C3A1C"/>
    <w:rsid w:val="005C49F6"/>
    <w:rsid w:val="005C571E"/>
    <w:rsid w:val="005C5900"/>
    <w:rsid w:val="005C6FA8"/>
    <w:rsid w:val="005D3B95"/>
    <w:rsid w:val="005D4DCD"/>
    <w:rsid w:val="005D599B"/>
    <w:rsid w:val="005D59AE"/>
    <w:rsid w:val="005E0AC0"/>
    <w:rsid w:val="005E361F"/>
    <w:rsid w:val="005F2BCE"/>
    <w:rsid w:val="005F5616"/>
    <w:rsid w:val="005F5B71"/>
    <w:rsid w:val="005F5F03"/>
    <w:rsid w:val="00600E26"/>
    <w:rsid w:val="0060100F"/>
    <w:rsid w:val="006012EE"/>
    <w:rsid w:val="0060208E"/>
    <w:rsid w:val="00602CC4"/>
    <w:rsid w:val="00604774"/>
    <w:rsid w:val="006058E6"/>
    <w:rsid w:val="00610D56"/>
    <w:rsid w:val="006133F3"/>
    <w:rsid w:val="0061627B"/>
    <w:rsid w:val="006164E9"/>
    <w:rsid w:val="00622D7A"/>
    <w:rsid w:val="00623659"/>
    <w:rsid w:val="00625E75"/>
    <w:rsid w:val="00626FE3"/>
    <w:rsid w:val="00627723"/>
    <w:rsid w:val="00630349"/>
    <w:rsid w:val="00631272"/>
    <w:rsid w:val="006317BB"/>
    <w:rsid w:val="00631A2E"/>
    <w:rsid w:val="006325C5"/>
    <w:rsid w:val="00632CD4"/>
    <w:rsid w:val="006354F6"/>
    <w:rsid w:val="00636139"/>
    <w:rsid w:val="00636594"/>
    <w:rsid w:val="00636DE6"/>
    <w:rsid w:val="00637350"/>
    <w:rsid w:val="00641796"/>
    <w:rsid w:val="00646617"/>
    <w:rsid w:val="006479DF"/>
    <w:rsid w:val="00647D4B"/>
    <w:rsid w:val="0065112A"/>
    <w:rsid w:val="00654A82"/>
    <w:rsid w:val="00656F29"/>
    <w:rsid w:val="00660428"/>
    <w:rsid w:val="00660DCB"/>
    <w:rsid w:val="0066267C"/>
    <w:rsid w:val="00662FBE"/>
    <w:rsid w:val="0067014F"/>
    <w:rsid w:val="00670CB8"/>
    <w:rsid w:val="006719A0"/>
    <w:rsid w:val="006759FE"/>
    <w:rsid w:val="00680213"/>
    <w:rsid w:val="006828C4"/>
    <w:rsid w:val="00684A4B"/>
    <w:rsid w:val="00684AF2"/>
    <w:rsid w:val="0068581A"/>
    <w:rsid w:val="00685964"/>
    <w:rsid w:val="00687102"/>
    <w:rsid w:val="0069145B"/>
    <w:rsid w:val="00691509"/>
    <w:rsid w:val="00693341"/>
    <w:rsid w:val="006938FF"/>
    <w:rsid w:val="006A06E2"/>
    <w:rsid w:val="006A5157"/>
    <w:rsid w:val="006A5A94"/>
    <w:rsid w:val="006A70F5"/>
    <w:rsid w:val="006A7DF2"/>
    <w:rsid w:val="006B00F4"/>
    <w:rsid w:val="006B0837"/>
    <w:rsid w:val="006B103C"/>
    <w:rsid w:val="006B2B8D"/>
    <w:rsid w:val="006B3ACE"/>
    <w:rsid w:val="006B68C4"/>
    <w:rsid w:val="006B6D58"/>
    <w:rsid w:val="006B74F7"/>
    <w:rsid w:val="006C2ECB"/>
    <w:rsid w:val="006C2F98"/>
    <w:rsid w:val="006C3AA8"/>
    <w:rsid w:val="006C5ACB"/>
    <w:rsid w:val="006C5C57"/>
    <w:rsid w:val="006C5FDE"/>
    <w:rsid w:val="006C6A25"/>
    <w:rsid w:val="006D04D1"/>
    <w:rsid w:val="006D082A"/>
    <w:rsid w:val="006D121A"/>
    <w:rsid w:val="006D399A"/>
    <w:rsid w:val="006D3B82"/>
    <w:rsid w:val="006D629E"/>
    <w:rsid w:val="006E06DB"/>
    <w:rsid w:val="006E2019"/>
    <w:rsid w:val="006E4110"/>
    <w:rsid w:val="006E710E"/>
    <w:rsid w:val="006F15B4"/>
    <w:rsid w:val="006F34E6"/>
    <w:rsid w:val="006F4353"/>
    <w:rsid w:val="006F5FF9"/>
    <w:rsid w:val="006F732A"/>
    <w:rsid w:val="00700153"/>
    <w:rsid w:val="007016EF"/>
    <w:rsid w:val="007025E9"/>
    <w:rsid w:val="00710350"/>
    <w:rsid w:val="007103A3"/>
    <w:rsid w:val="007133C8"/>
    <w:rsid w:val="00713A57"/>
    <w:rsid w:val="00714531"/>
    <w:rsid w:val="007149BA"/>
    <w:rsid w:val="00714D3B"/>
    <w:rsid w:val="0071526F"/>
    <w:rsid w:val="007158BD"/>
    <w:rsid w:val="007164B9"/>
    <w:rsid w:val="00716EAB"/>
    <w:rsid w:val="0071714C"/>
    <w:rsid w:val="00720542"/>
    <w:rsid w:val="007212CB"/>
    <w:rsid w:val="007213C2"/>
    <w:rsid w:val="0072540C"/>
    <w:rsid w:val="00725A6B"/>
    <w:rsid w:val="00725F0D"/>
    <w:rsid w:val="0072746E"/>
    <w:rsid w:val="007277D1"/>
    <w:rsid w:val="00727950"/>
    <w:rsid w:val="0073197D"/>
    <w:rsid w:val="00731D2A"/>
    <w:rsid w:val="0073315E"/>
    <w:rsid w:val="007343B6"/>
    <w:rsid w:val="007366EE"/>
    <w:rsid w:val="00740F66"/>
    <w:rsid w:val="007411BA"/>
    <w:rsid w:val="007413B3"/>
    <w:rsid w:val="00741DC2"/>
    <w:rsid w:val="00743533"/>
    <w:rsid w:val="00743CDE"/>
    <w:rsid w:val="00745CD9"/>
    <w:rsid w:val="00745FC7"/>
    <w:rsid w:val="00747667"/>
    <w:rsid w:val="007476D1"/>
    <w:rsid w:val="00747F1E"/>
    <w:rsid w:val="00750DD4"/>
    <w:rsid w:val="00751EC9"/>
    <w:rsid w:val="00756B99"/>
    <w:rsid w:val="00757931"/>
    <w:rsid w:val="007612C1"/>
    <w:rsid w:val="00762197"/>
    <w:rsid w:val="0076414C"/>
    <w:rsid w:val="00764230"/>
    <w:rsid w:val="00765555"/>
    <w:rsid w:val="007657F6"/>
    <w:rsid w:val="0076598A"/>
    <w:rsid w:val="00765F95"/>
    <w:rsid w:val="0076659B"/>
    <w:rsid w:val="00766F08"/>
    <w:rsid w:val="0076748E"/>
    <w:rsid w:val="0076772B"/>
    <w:rsid w:val="00770BB0"/>
    <w:rsid w:val="0077172E"/>
    <w:rsid w:val="00771CC6"/>
    <w:rsid w:val="00773D4C"/>
    <w:rsid w:val="00773EA3"/>
    <w:rsid w:val="00780A2F"/>
    <w:rsid w:val="00781E56"/>
    <w:rsid w:val="00782970"/>
    <w:rsid w:val="007842E4"/>
    <w:rsid w:val="00784EF7"/>
    <w:rsid w:val="007869C1"/>
    <w:rsid w:val="00787605"/>
    <w:rsid w:val="00793259"/>
    <w:rsid w:val="00793318"/>
    <w:rsid w:val="007978E4"/>
    <w:rsid w:val="007A0A10"/>
    <w:rsid w:val="007A2A30"/>
    <w:rsid w:val="007A5B1A"/>
    <w:rsid w:val="007A60EF"/>
    <w:rsid w:val="007A65F5"/>
    <w:rsid w:val="007A6F77"/>
    <w:rsid w:val="007B0A00"/>
    <w:rsid w:val="007B10EA"/>
    <w:rsid w:val="007B1581"/>
    <w:rsid w:val="007B375D"/>
    <w:rsid w:val="007B6E9A"/>
    <w:rsid w:val="007B7415"/>
    <w:rsid w:val="007C0856"/>
    <w:rsid w:val="007C4D25"/>
    <w:rsid w:val="007C55B7"/>
    <w:rsid w:val="007D1C76"/>
    <w:rsid w:val="007D3839"/>
    <w:rsid w:val="007D3EF9"/>
    <w:rsid w:val="007D51B5"/>
    <w:rsid w:val="007D5F89"/>
    <w:rsid w:val="007D6771"/>
    <w:rsid w:val="007E2C5F"/>
    <w:rsid w:val="007E39A0"/>
    <w:rsid w:val="007E5277"/>
    <w:rsid w:val="007E6856"/>
    <w:rsid w:val="007F0D9A"/>
    <w:rsid w:val="007F5D74"/>
    <w:rsid w:val="007F6C03"/>
    <w:rsid w:val="00801225"/>
    <w:rsid w:val="00806025"/>
    <w:rsid w:val="00806FA8"/>
    <w:rsid w:val="0081102C"/>
    <w:rsid w:val="0081420E"/>
    <w:rsid w:val="008151F9"/>
    <w:rsid w:val="008169E2"/>
    <w:rsid w:val="00816C12"/>
    <w:rsid w:val="008171C1"/>
    <w:rsid w:val="00817B3A"/>
    <w:rsid w:val="00823A5E"/>
    <w:rsid w:val="00833AEE"/>
    <w:rsid w:val="00835FEE"/>
    <w:rsid w:val="00843861"/>
    <w:rsid w:val="00845CF6"/>
    <w:rsid w:val="008463DD"/>
    <w:rsid w:val="00846AD0"/>
    <w:rsid w:val="00846C7E"/>
    <w:rsid w:val="0084743A"/>
    <w:rsid w:val="00850467"/>
    <w:rsid w:val="00850C6D"/>
    <w:rsid w:val="00852994"/>
    <w:rsid w:val="00852C29"/>
    <w:rsid w:val="00854C27"/>
    <w:rsid w:val="00855325"/>
    <w:rsid w:val="00856BBE"/>
    <w:rsid w:val="0085775C"/>
    <w:rsid w:val="00862F49"/>
    <w:rsid w:val="00866437"/>
    <w:rsid w:val="0086733D"/>
    <w:rsid w:val="00867CF4"/>
    <w:rsid w:val="00867F90"/>
    <w:rsid w:val="00871149"/>
    <w:rsid w:val="00871CB1"/>
    <w:rsid w:val="00872A39"/>
    <w:rsid w:val="00872EE1"/>
    <w:rsid w:val="00873A5C"/>
    <w:rsid w:val="008741B5"/>
    <w:rsid w:val="008743E6"/>
    <w:rsid w:val="00874FE9"/>
    <w:rsid w:val="0087615B"/>
    <w:rsid w:val="008765F4"/>
    <w:rsid w:val="00880080"/>
    <w:rsid w:val="008806AC"/>
    <w:rsid w:val="008809BE"/>
    <w:rsid w:val="00880A13"/>
    <w:rsid w:val="00881386"/>
    <w:rsid w:val="008821FB"/>
    <w:rsid w:val="008831D7"/>
    <w:rsid w:val="00885462"/>
    <w:rsid w:val="00886F92"/>
    <w:rsid w:val="00890575"/>
    <w:rsid w:val="00890C01"/>
    <w:rsid w:val="00891B3B"/>
    <w:rsid w:val="00892B4E"/>
    <w:rsid w:val="008942C4"/>
    <w:rsid w:val="0089568E"/>
    <w:rsid w:val="008A19DE"/>
    <w:rsid w:val="008A2DF6"/>
    <w:rsid w:val="008A72BD"/>
    <w:rsid w:val="008B0669"/>
    <w:rsid w:val="008B25C5"/>
    <w:rsid w:val="008B2FFB"/>
    <w:rsid w:val="008B31FF"/>
    <w:rsid w:val="008B4988"/>
    <w:rsid w:val="008C076D"/>
    <w:rsid w:val="008C271F"/>
    <w:rsid w:val="008C3A86"/>
    <w:rsid w:val="008C404B"/>
    <w:rsid w:val="008C453A"/>
    <w:rsid w:val="008D0F9C"/>
    <w:rsid w:val="008D1619"/>
    <w:rsid w:val="008D4C93"/>
    <w:rsid w:val="008D550A"/>
    <w:rsid w:val="008D60B5"/>
    <w:rsid w:val="008D6B5B"/>
    <w:rsid w:val="008E1968"/>
    <w:rsid w:val="008E2369"/>
    <w:rsid w:val="008E3D98"/>
    <w:rsid w:val="008F16B9"/>
    <w:rsid w:val="008F2627"/>
    <w:rsid w:val="008F75AF"/>
    <w:rsid w:val="0090070A"/>
    <w:rsid w:val="0090110D"/>
    <w:rsid w:val="00901CC5"/>
    <w:rsid w:val="00902196"/>
    <w:rsid w:val="00903594"/>
    <w:rsid w:val="00905074"/>
    <w:rsid w:val="00905135"/>
    <w:rsid w:val="0090734F"/>
    <w:rsid w:val="009113F1"/>
    <w:rsid w:val="00911D80"/>
    <w:rsid w:val="0091287F"/>
    <w:rsid w:val="009143AB"/>
    <w:rsid w:val="00914FF2"/>
    <w:rsid w:val="009153BA"/>
    <w:rsid w:val="00921F32"/>
    <w:rsid w:val="00922A7F"/>
    <w:rsid w:val="00924935"/>
    <w:rsid w:val="00926284"/>
    <w:rsid w:val="00927040"/>
    <w:rsid w:val="00930987"/>
    <w:rsid w:val="00930AD8"/>
    <w:rsid w:val="00931149"/>
    <w:rsid w:val="009318DC"/>
    <w:rsid w:val="00931AF2"/>
    <w:rsid w:val="00932A9F"/>
    <w:rsid w:val="00932B52"/>
    <w:rsid w:val="00937794"/>
    <w:rsid w:val="00937F15"/>
    <w:rsid w:val="00942092"/>
    <w:rsid w:val="00942655"/>
    <w:rsid w:val="00942EFD"/>
    <w:rsid w:val="00943E30"/>
    <w:rsid w:val="009443DE"/>
    <w:rsid w:val="00944668"/>
    <w:rsid w:val="00945F43"/>
    <w:rsid w:val="00951A82"/>
    <w:rsid w:val="0095362C"/>
    <w:rsid w:val="00954542"/>
    <w:rsid w:val="00955C7B"/>
    <w:rsid w:val="0095691E"/>
    <w:rsid w:val="009621A1"/>
    <w:rsid w:val="00962621"/>
    <w:rsid w:val="00962F3D"/>
    <w:rsid w:val="00965239"/>
    <w:rsid w:val="00966CAB"/>
    <w:rsid w:val="0096749F"/>
    <w:rsid w:val="00975527"/>
    <w:rsid w:val="00977CF6"/>
    <w:rsid w:val="00980688"/>
    <w:rsid w:val="0098250E"/>
    <w:rsid w:val="009836CF"/>
    <w:rsid w:val="009860A1"/>
    <w:rsid w:val="00986119"/>
    <w:rsid w:val="00990F09"/>
    <w:rsid w:val="0099136C"/>
    <w:rsid w:val="009930B9"/>
    <w:rsid w:val="0099324D"/>
    <w:rsid w:val="009932A7"/>
    <w:rsid w:val="009934B3"/>
    <w:rsid w:val="00995169"/>
    <w:rsid w:val="00995F15"/>
    <w:rsid w:val="00996AD1"/>
    <w:rsid w:val="009A13E9"/>
    <w:rsid w:val="009A611B"/>
    <w:rsid w:val="009A65A8"/>
    <w:rsid w:val="009B03CA"/>
    <w:rsid w:val="009B09DF"/>
    <w:rsid w:val="009B2619"/>
    <w:rsid w:val="009B2959"/>
    <w:rsid w:val="009B421D"/>
    <w:rsid w:val="009B4CD8"/>
    <w:rsid w:val="009B53BE"/>
    <w:rsid w:val="009B6B56"/>
    <w:rsid w:val="009B73E9"/>
    <w:rsid w:val="009B75C4"/>
    <w:rsid w:val="009C0F64"/>
    <w:rsid w:val="009C1CE9"/>
    <w:rsid w:val="009C3E7F"/>
    <w:rsid w:val="009C4EF4"/>
    <w:rsid w:val="009C544D"/>
    <w:rsid w:val="009C6520"/>
    <w:rsid w:val="009D1159"/>
    <w:rsid w:val="009D141E"/>
    <w:rsid w:val="009D2527"/>
    <w:rsid w:val="009D2540"/>
    <w:rsid w:val="009D44E5"/>
    <w:rsid w:val="009D4BB9"/>
    <w:rsid w:val="009D5C4F"/>
    <w:rsid w:val="009D681C"/>
    <w:rsid w:val="009D69E2"/>
    <w:rsid w:val="009E3B56"/>
    <w:rsid w:val="009E3D23"/>
    <w:rsid w:val="009E3FE4"/>
    <w:rsid w:val="009E5242"/>
    <w:rsid w:val="009E6452"/>
    <w:rsid w:val="009E6C11"/>
    <w:rsid w:val="009E6D81"/>
    <w:rsid w:val="009E6DA3"/>
    <w:rsid w:val="009E6E6F"/>
    <w:rsid w:val="009E7CAB"/>
    <w:rsid w:val="009F10DB"/>
    <w:rsid w:val="009F294D"/>
    <w:rsid w:val="009F4952"/>
    <w:rsid w:val="009F5733"/>
    <w:rsid w:val="009F5F9E"/>
    <w:rsid w:val="009F7CDB"/>
    <w:rsid w:val="00A00D45"/>
    <w:rsid w:val="00A02727"/>
    <w:rsid w:val="00A04A03"/>
    <w:rsid w:val="00A054E8"/>
    <w:rsid w:val="00A05843"/>
    <w:rsid w:val="00A10AE6"/>
    <w:rsid w:val="00A137D6"/>
    <w:rsid w:val="00A144AE"/>
    <w:rsid w:val="00A14A90"/>
    <w:rsid w:val="00A17580"/>
    <w:rsid w:val="00A2178F"/>
    <w:rsid w:val="00A2264F"/>
    <w:rsid w:val="00A22FF4"/>
    <w:rsid w:val="00A23B13"/>
    <w:rsid w:val="00A2731E"/>
    <w:rsid w:val="00A30858"/>
    <w:rsid w:val="00A31FBC"/>
    <w:rsid w:val="00A336B4"/>
    <w:rsid w:val="00A3593E"/>
    <w:rsid w:val="00A367CC"/>
    <w:rsid w:val="00A3720E"/>
    <w:rsid w:val="00A43D5D"/>
    <w:rsid w:val="00A44C3A"/>
    <w:rsid w:val="00A4562F"/>
    <w:rsid w:val="00A46081"/>
    <w:rsid w:val="00A460F5"/>
    <w:rsid w:val="00A50029"/>
    <w:rsid w:val="00A50511"/>
    <w:rsid w:val="00A5165F"/>
    <w:rsid w:val="00A53A50"/>
    <w:rsid w:val="00A56C02"/>
    <w:rsid w:val="00A57558"/>
    <w:rsid w:val="00A57B3E"/>
    <w:rsid w:val="00A624A8"/>
    <w:rsid w:val="00A637A3"/>
    <w:rsid w:val="00A66561"/>
    <w:rsid w:val="00A70E26"/>
    <w:rsid w:val="00A71CA5"/>
    <w:rsid w:val="00A75204"/>
    <w:rsid w:val="00A76F4B"/>
    <w:rsid w:val="00A77FE9"/>
    <w:rsid w:val="00A80EB0"/>
    <w:rsid w:val="00A845D0"/>
    <w:rsid w:val="00A9025E"/>
    <w:rsid w:val="00A9046F"/>
    <w:rsid w:val="00A92369"/>
    <w:rsid w:val="00A924E8"/>
    <w:rsid w:val="00A9254C"/>
    <w:rsid w:val="00A950F2"/>
    <w:rsid w:val="00A96458"/>
    <w:rsid w:val="00A97071"/>
    <w:rsid w:val="00AA217C"/>
    <w:rsid w:val="00AA2219"/>
    <w:rsid w:val="00AA2878"/>
    <w:rsid w:val="00AA2E9B"/>
    <w:rsid w:val="00AA5C16"/>
    <w:rsid w:val="00AA76CD"/>
    <w:rsid w:val="00AB247A"/>
    <w:rsid w:val="00AB393F"/>
    <w:rsid w:val="00AB5F98"/>
    <w:rsid w:val="00AB6ACC"/>
    <w:rsid w:val="00AB6DFA"/>
    <w:rsid w:val="00AB755C"/>
    <w:rsid w:val="00AC225C"/>
    <w:rsid w:val="00AC26BE"/>
    <w:rsid w:val="00AC26E2"/>
    <w:rsid w:val="00AC339F"/>
    <w:rsid w:val="00AC381D"/>
    <w:rsid w:val="00AD0844"/>
    <w:rsid w:val="00AD0A95"/>
    <w:rsid w:val="00AD1E79"/>
    <w:rsid w:val="00AD369C"/>
    <w:rsid w:val="00AD5AAE"/>
    <w:rsid w:val="00AD61AF"/>
    <w:rsid w:val="00AE03BD"/>
    <w:rsid w:val="00AE13E6"/>
    <w:rsid w:val="00AE173F"/>
    <w:rsid w:val="00AE20F5"/>
    <w:rsid w:val="00AE51D1"/>
    <w:rsid w:val="00AE631C"/>
    <w:rsid w:val="00AF4A59"/>
    <w:rsid w:val="00AF5001"/>
    <w:rsid w:val="00AF5B3D"/>
    <w:rsid w:val="00AF7B96"/>
    <w:rsid w:val="00B000C5"/>
    <w:rsid w:val="00B01BB1"/>
    <w:rsid w:val="00B02AC9"/>
    <w:rsid w:val="00B053FE"/>
    <w:rsid w:val="00B06C00"/>
    <w:rsid w:val="00B07382"/>
    <w:rsid w:val="00B100D0"/>
    <w:rsid w:val="00B11971"/>
    <w:rsid w:val="00B12061"/>
    <w:rsid w:val="00B1228A"/>
    <w:rsid w:val="00B14329"/>
    <w:rsid w:val="00B14BE9"/>
    <w:rsid w:val="00B16A51"/>
    <w:rsid w:val="00B17F75"/>
    <w:rsid w:val="00B23EBF"/>
    <w:rsid w:val="00B23F36"/>
    <w:rsid w:val="00B243C7"/>
    <w:rsid w:val="00B25D8B"/>
    <w:rsid w:val="00B315E9"/>
    <w:rsid w:val="00B34F26"/>
    <w:rsid w:val="00B4284E"/>
    <w:rsid w:val="00B44325"/>
    <w:rsid w:val="00B44E3C"/>
    <w:rsid w:val="00B45565"/>
    <w:rsid w:val="00B46FF8"/>
    <w:rsid w:val="00B47C61"/>
    <w:rsid w:val="00B50565"/>
    <w:rsid w:val="00B50CD8"/>
    <w:rsid w:val="00B51D0C"/>
    <w:rsid w:val="00B5239F"/>
    <w:rsid w:val="00B53B4A"/>
    <w:rsid w:val="00B54028"/>
    <w:rsid w:val="00B552EF"/>
    <w:rsid w:val="00B57C4C"/>
    <w:rsid w:val="00B60528"/>
    <w:rsid w:val="00B62285"/>
    <w:rsid w:val="00B67D91"/>
    <w:rsid w:val="00B70532"/>
    <w:rsid w:val="00B70BAD"/>
    <w:rsid w:val="00B71D00"/>
    <w:rsid w:val="00B72199"/>
    <w:rsid w:val="00B72D80"/>
    <w:rsid w:val="00B73A4D"/>
    <w:rsid w:val="00B73BB7"/>
    <w:rsid w:val="00B74041"/>
    <w:rsid w:val="00B7441D"/>
    <w:rsid w:val="00B75EB9"/>
    <w:rsid w:val="00B805A2"/>
    <w:rsid w:val="00B8258D"/>
    <w:rsid w:val="00B831A3"/>
    <w:rsid w:val="00B841A1"/>
    <w:rsid w:val="00B84236"/>
    <w:rsid w:val="00B84C96"/>
    <w:rsid w:val="00B84DA7"/>
    <w:rsid w:val="00B855ED"/>
    <w:rsid w:val="00B86053"/>
    <w:rsid w:val="00B87456"/>
    <w:rsid w:val="00B92132"/>
    <w:rsid w:val="00B92256"/>
    <w:rsid w:val="00B92A6D"/>
    <w:rsid w:val="00B948E0"/>
    <w:rsid w:val="00B94ADF"/>
    <w:rsid w:val="00B96510"/>
    <w:rsid w:val="00B968B9"/>
    <w:rsid w:val="00B97180"/>
    <w:rsid w:val="00BA089F"/>
    <w:rsid w:val="00BA0EF7"/>
    <w:rsid w:val="00BA13ED"/>
    <w:rsid w:val="00BA4376"/>
    <w:rsid w:val="00BA6717"/>
    <w:rsid w:val="00BA761E"/>
    <w:rsid w:val="00BA7D31"/>
    <w:rsid w:val="00BB1642"/>
    <w:rsid w:val="00BB2EF7"/>
    <w:rsid w:val="00BC14B8"/>
    <w:rsid w:val="00BC22DA"/>
    <w:rsid w:val="00BC313E"/>
    <w:rsid w:val="00BC4BAC"/>
    <w:rsid w:val="00BC527B"/>
    <w:rsid w:val="00BC6390"/>
    <w:rsid w:val="00BD3478"/>
    <w:rsid w:val="00BD421A"/>
    <w:rsid w:val="00BD48B6"/>
    <w:rsid w:val="00BD6141"/>
    <w:rsid w:val="00BD65B7"/>
    <w:rsid w:val="00BE29B0"/>
    <w:rsid w:val="00BE3A94"/>
    <w:rsid w:val="00BE4CB7"/>
    <w:rsid w:val="00BE62A8"/>
    <w:rsid w:val="00BF38B1"/>
    <w:rsid w:val="00BF44DB"/>
    <w:rsid w:val="00BF4C39"/>
    <w:rsid w:val="00BF5C76"/>
    <w:rsid w:val="00BF7F10"/>
    <w:rsid w:val="00C0099D"/>
    <w:rsid w:val="00C02CCA"/>
    <w:rsid w:val="00C055AD"/>
    <w:rsid w:val="00C0581E"/>
    <w:rsid w:val="00C05D4C"/>
    <w:rsid w:val="00C06A9A"/>
    <w:rsid w:val="00C113A0"/>
    <w:rsid w:val="00C1330F"/>
    <w:rsid w:val="00C1517F"/>
    <w:rsid w:val="00C214B6"/>
    <w:rsid w:val="00C22521"/>
    <w:rsid w:val="00C227D6"/>
    <w:rsid w:val="00C2408A"/>
    <w:rsid w:val="00C24213"/>
    <w:rsid w:val="00C24424"/>
    <w:rsid w:val="00C24727"/>
    <w:rsid w:val="00C31DD8"/>
    <w:rsid w:val="00C32A24"/>
    <w:rsid w:val="00C348A2"/>
    <w:rsid w:val="00C357C2"/>
    <w:rsid w:val="00C35B63"/>
    <w:rsid w:val="00C35EFC"/>
    <w:rsid w:val="00C36BF3"/>
    <w:rsid w:val="00C41839"/>
    <w:rsid w:val="00C41858"/>
    <w:rsid w:val="00C427F7"/>
    <w:rsid w:val="00C439CA"/>
    <w:rsid w:val="00C44D51"/>
    <w:rsid w:val="00C4568F"/>
    <w:rsid w:val="00C4728A"/>
    <w:rsid w:val="00C4784D"/>
    <w:rsid w:val="00C47DA2"/>
    <w:rsid w:val="00C55097"/>
    <w:rsid w:val="00C55903"/>
    <w:rsid w:val="00C55E03"/>
    <w:rsid w:val="00C6244D"/>
    <w:rsid w:val="00C63CAD"/>
    <w:rsid w:val="00C64088"/>
    <w:rsid w:val="00C6439D"/>
    <w:rsid w:val="00C65F06"/>
    <w:rsid w:val="00C6770F"/>
    <w:rsid w:val="00C71AD3"/>
    <w:rsid w:val="00C72C9C"/>
    <w:rsid w:val="00C762ED"/>
    <w:rsid w:val="00C772B2"/>
    <w:rsid w:val="00C80B5C"/>
    <w:rsid w:val="00C817E8"/>
    <w:rsid w:val="00C81823"/>
    <w:rsid w:val="00C81A0F"/>
    <w:rsid w:val="00C83FBC"/>
    <w:rsid w:val="00C91BE8"/>
    <w:rsid w:val="00C92BF0"/>
    <w:rsid w:val="00C9359E"/>
    <w:rsid w:val="00C9618D"/>
    <w:rsid w:val="00C96264"/>
    <w:rsid w:val="00C9739C"/>
    <w:rsid w:val="00CA01D3"/>
    <w:rsid w:val="00CA0381"/>
    <w:rsid w:val="00CA0F4A"/>
    <w:rsid w:val="00CA1229"/>
    <w:rsid w:val="00CA208E"/>
    <w:rsid w:val="00CA574A"/>
    <w:rsid w:val="00CB0846"/>
    <w:rsid w:val="00CB36C8"/>
    <w:rsid w:val="00CB57D0"/>
    <w:rsid w:val="00CB661A"/>
    <w:rsid w:val="00CC2F96"/>
    <w:rsid w:val="00CC38FB"/>
    <w:rsid w:val="00CC4124"/>
    <w:rsid w:val="00CC5ACD"/>
    <w:rsid w:val="00CC5DCC"/>
    <w:rsid w:val="00CC64AD"/>
    <w:rsid w:val="00CC741B"/>
    <w:rsid w:val="00CC7C69"/>
    <w:rsid w:val="00CD0EC1"/>
    <w:rsid w:val="00CD17CB"/>
    <w:rsid w:val="00CD1FF5"/>
    <w:rsid w:val="00CD2873"/>
    <w:rsid w:val="00CD321E"/>
    <w:rsid w:val="00CD3B92"/>
    <w:rsid w:val="00CD3D13"/>
    <w:rsid w:val="00CD7052"/>
    <w:rsid w:val="00CD7C56"/>
    <w:rsid w:val="00CD7E2A"/>
    <w:rsid w:val="00CE0819"/>
    <w:rsid w:val="00CE3B48"/>
    <w:rsid w:val="00CE3FD3"/>
    <w:rsid w:val="00CE4E9B"/>
    <w:rsid w:val="00CE52AE"/>
    <w:rsid w:val="00CE52DB"/>
    <w:rsid w:val="00CF14D8"/>
    <w:rsid w:val="00CF176B"/>
    <w:rsid w:val="00CF53C2"/>
    <w:rsid w:val="00CF6C6D"/>
    <w:rsid w:val="00CF73D4"/>
    <w:rsid w:val="00CF7CD2"/>
    <w:rsid w:val="00D00297"/>
    <w:rsid w:val="00D00AB0"/>
    <w:rsid w:val="00D01A3B"/>
    <w:rsid w:val="00D02643"/>
    <w:rsid w:val="00D05350"/>
    <w:rsid w:val="00D053A1"/>
    <w:rsid w:val="00D053A7"/>
    <w:rsid w:val="00D05DDF"/>
    <w:rsid w:val="00D06076"/>
    <w:rsid w:val="00D07422"/>
    <w:rsid w:val="00D076B3"/>
    <w:rsid w:val="00D07722"/>
    <w:rsid w:val="00D112F1"/>
    <w:rsid w:val="00D11D6F"/>
    <w:rsid w:val="00D11DB0"/>
    <w:rsid w:val="00D13366"/>
    <w:rsid w:val="00D137E6"/>
    <w:rsid w:val="00D14AE9"/>
    <w:rsid w:val="00D1772E"/>
    <w:rsid w:val="00D17995"/>
    <w:rsid w:val="00D2218F"/>
    <w:rsid w:val="00D22F23"/>
    <w:rsid w:val="00D239D4"/>
    <w:rsid w:val="00D23C88"/>
    <w:rsid w:val="00D24DBE"/>
    <w:rsid w:val="00D27BE9"/>
    <w:rsid w:val="00D30A6D"/>
    <w:rsid w:val="00D32D56"/>
    <w:rsid w:val="00D32DD0"/>
    <w:rsid w:val="00D343EE"/>
    <w:rsid w:val="00D347B6"/>
    <w:rsid w:val="00D36499"/>
    <w:rsid w:val="00D40970"/>
    <w:rsid w:val="00D414C3"/>
    <w:rsid w:val="00D4199B"/>
    <w:rsid w:val="00D42472"/>
    <w:rsid w:val="00D44F70"/>
    <w:rsid w:val="00D4645F"/>
    <w:rsid w:val="00D46558"/>
    <w:rsid w:val="00D46675"/>
    <w:rsid w:val="00D504C3"/>
    <w:rsid w:val="00D514A3"/>
    <w:rsid w:val="00D5281C"/>
    <w:rsid w:val="00D56813"/>
    <w:rsid w:val="00D56A53"/>
    <w:rsid w:val="00D61BB6"/>
    <w:rsid w:val="00D626E5"/>
    <w:rsid w:val="00D627DF"/>
    <w:rsid w:val="00D62CFF"/>
    <w:rsid w:val="00D64ACD"/>
    <w:rsid w:val="00D66713"/>
    <w:rsid w:val="00D67682"/>
    <w:rsid w:val="00D706C6"/>
    <w:rsid w:val="00D70D0D"/>
    <w:rsid w:val="00D7252E"/>
    <w:rsid w:val="00D728D9"/>
    <w:rsid w:val="00D746FD"/>
    <w:rsid w:val="00D76E96"/>
    <w:rsid w:val="00D83553"/>
    <w:rsid w:val="00D8563B"/>
    <w:rsid w:val="00D85707"/>
    <w:rsid w:val="00D8609A"/>
    <w:rsid w:val="00D86331"/>
    <w:rsid w:val="00D86507"/>
    <w:rsid w:val="00D86DA2"/>
    <w:rsid w:val="00D93214"/>
    <w:rsid w:val="00D938B0"/>
    <w:rsid w:val="00D95737"/>
    <w:rsid w:val="00D96598"/>
    <w:rsid w:val="00D96A9B"/>
    <w:rsid w:val="00DA422F"/>
    <w:rsid w:val="00DA463A"/>
    <w:rsid w:val="00DA7C99"/>
    <w:rsid w:val="00DB268D"/>
    <w:rsid w:val="00DB46F7"/>
    <w:rsid w:val="00DB798B"/>
    <w:rsid w:val="00DB7E1A"/>
    <w:rsid w:val="00DC1F31"/>
    <w:rsid w:val="00DC2A22"/>
    <w:rsid w:val="00DD03C9"/>
    <w:rsid w:val="00DD055C"/>
    <w:rsid w:val="00DD3F74"/>
    <w:rsid w:val="00DD4310"/>
    <w:rsid w:val="00DD5938"/>
    <w:rsid w:val="00DD6C48"/>
    <w:rsid w:val="00DE2229"/>
    <w:rsid w:val="00DE2B82"/>
    <w:rsid w:val="00DE51C7"/>
    <w:rsid w:val="00DE7D39"/>
    <w:rsid w:val="00DF0202"/>
    <w:rsid w:val="00DF0AF7"/>
    <w:rsid w:val="00DF1DD6"/>
    <w:rsid w:val="00DF2730"/>
    <w:rsid w:val="00DF2E83"/>
    <w:rsid w:val="00DF4062"/>
    <w:rsid w:val="00DF4437"/>
    <w:rsid w:val="00DF61DD"/>
    <w:rsid w:val="00E00B7F"/>
    <w:rsid w:val="00E0452A"/>
    <w:rsid w:val="00E05318"/>
    <w:rsid w:val="00E07619"/>
    <w:rsid w:val="00E1127E"/>
    <w:rsid w:val="00E11D8E"/>
    <w:rsid w:val="00E15136"/>
    <w:rsid w:val="00E151E7"/>
    <w:rsid w:val="00E156D4"/>
    <w:rsid w:val="00E23335"/>
    <w:rsid w:val="00E24728"/>
    <w:rsid w:val="00E249D5"/>
    <w:rsid w:val="00E24C1E"/>
    <w:rsid w:val="00E24C5C"/>
    <w:rsid w:val="00E25E93"/>
    <w:rsid w:val="00E25F3F"/>
    <w:rsid w:val="00E266E0"/>
    <w:rsid w:val="00E30021"/>
    <w:rsid w:val="00E3181A"/>
    <w:rsid w:val="00E3229A"/>
    <w:rsid w:val="00E3477B"/>
    <w:rsid w:val="00E37177"/>
    <w:rsid w:val="00E40048"/>
    <w:rsid w:val="00E40BD9"/>
    <w:rsid w:val="00E44990"/>
    <w:rsid w:val="00E45A38"/>
    <w:rsid w:val="00E47DEC"/>
    <w:rsid w:val="00E5051F"/>
    <w:rsid w:val="00E50CF4"/>
    <w:rsid w:val="00E512F1"/>
    <w:rsid w:val="00E5235D"/>
    <w:rsid w:val="00E52D37"/>
    <w:rsid w:val="00E5416A"/>
    <w:rsid w:val="00E55104"/>
    <w:rsid w:val="00E604BB"/>
    <w:rsid w:val="00E61972"/>
    <w:rsid w:val="00E624CD"/>
    <w:rsid w:val="00E6401C"/>
    <w:rsid w:val="00E64F76"/>
    <w:rsid w:val="00E65035"/>
    <w:rsid w:val="00E651AF"/>
    <w:rsid w:val="00E652E5"/>
    <w:rsid w:val="00E65A1F"/>
    <w:rsid w:val="00E662E9"/>
    <w:rsid w:val="00E66D03"/>
    <w:rsid w:val="00E716B3"/>
    <w:rsid w:val="00E71F01"/>
    <w:rsid w:val="00E73D85"/>
    <w:rsid w:val="00E742C1"/>
    <w:rsid w:val="00E7459A"/>
    <w:rsid w:val="00E74EA1"/>
    <w:rsid w:val="00E75908"/>
    <w:rsid w:val="00E75EDB"/>
    <w:rsid w:val="00E76968"/>
    <w:rsid w:val="00E7702D"/>
    <w:rsid w:val="00E806CB"/>
    <w:rsid w:val="00E80B2F"/>
    <w:rsid w:val="00E812F1"/>
    <w:rsid w:val="00E81629"/>
    <w:rsid w:val="00E82F93"/>
    <w:rsid w:val="00E83094"/>
    <w:rsid w:val="00E87B39"/>
    <w:rsid w:val="00E904B8"/>
    <w:rsid w:val="00E93015"/>
    <w:rsid w:val="00E94A2F"/>
    <w:rsid w:val="00E9749B"/>
    <w:rsid w:val="00EA2897"/>
    <w:rsid w:val="00EA2A65"/>
    <w:rsid w:val="00EA2D63"/>
    <w:rsid w:val="00EA60C0"/>
    <w:rsid w:val="00EA6115"/>
    <w:rsid w:val="00EA6C18"/>
    <w:rsid w:val="00EA7DBA"/>
    <w:rsid w:val="00EB0892"/>
    <w:rsid w:val="00EB43BD"/>
    <w:rsid w:val="00EB4F93"/>
    <w:rsid w:val="00EB592D"/>
    <w:rsid w:val="00EC13FD"/>
    <w:rsid w:val="00EC1B49"/>
    <w:rsid w:val="00EC426F"/>
    <w:rsid w:val="00EC43F5"/>
    <w:rsid w:val="00EC48FF"/>
    <w:rsid w:val="00ED0263"/>
    <w:rsid w:val="00ED2060"/>
    <w:rsid w:val="00ED31FC"/>
    <w:rsid w:val="00ED3281"/>
    <w:rsid w:val="00ED3A48"/>
    <w:rsid w:val="00ED3B36"/>
    <w:rsid w:val="00ED3E45"/>
    <w:rsid w:val="00ED669B"/>
    <w:rsid w:val="00ED7596"/>
    <w:rsid w:val="00ED760E"/>
    <w:rsid w:val="00EE30EE"/>
    <w:rsid w:val="00EE3D95"/>
    <w:rsid w:val="00EE3DB2"/>
    <w:rsid w:val="00EE4395"/>
    <w:rsid w:val="00EE474F"/>
    <w:rsid w:val="00EE70FE"/>
    <w:rsid w:val="00EE7D76"/>
    <w:rsid w:val="00EF0304"/>
    <w:rsid w:val="00EF04E9"/>
    <w:rsid w:val="00EF12CE"/>
    <w:rsid w:val="00EF2D71"/>
    <w:rsid w:val="00EF478E"/>
    <w:rsid w:val="00EF48D4"/>
    <w:rsid w:val="00EF5B4E"/>
    <w:rsid w:val="00EF61A9"/>
    <w:rsid w:val="00F000F9"/>
    <w:rsid w:val="00F034F8"/>
    <w:rsid w:val="00F03D75"/>
    <w:rsid w:val="00F0607A"/>
    <w:rsid w:val="00F067E2"/>
    <w:rsid w:val="00F10760"/>
    <w:rsid w:val="00F10B9D"/>
    <w:rsid w:val="00F15F6A"/>
    <w:rsid w:val="00F1666F"/>
    <w:rsid w:val="00F17656"/>
    <w:rsid w:val="00F224F7"/>
    <w:rsid w:val="00F242B8"/>
    <w:rsid w:val="00F25790"/>
    <w:rsid w:val="00F25E6E"/>
    <w:rsid w:val="00F26ECC"/>
    <w:rsid w:val="00F27075"/>
    <w:rsid w:val="00F27C94"/>
    <w:rsid w:val="00F30F74"/>
    <w:rsid w:val="00F33BC1"/>
    <w:rsid w:val="00F34970"/>
    <w:rsid w:val="00F41E60"/>
    <w:rsid w:val="00F4561F"/>
    <w:rsid w:val="00F46211"/>
    <w:rsid w:val="00F50D22"/>
    <w:rsid w:val="00F5108C"/>
    <w:rsid w:val="00F519F2"/>
    <w:rsid w:val="00F521A6"/>
    <w:rsid w:val="00F547A4"/>
    <w:rsid w:val="00F55CC6"/>
    <w:rsid w:val="00F57292"/>
    <w:rsid w:val="00F57360"/>
    <w:rsid w:val="00F57519"/>
    <w:rsid w:val="00F61FE2"/>
    <w:rsid w:val="00F629A5"/>
    <w:rsid w:val="00F62EE7"/>
    <w:rsid w:val="00F63208"/>
    <w:rsid w:val="00F63EF2"/>
    <w:rsid w:val="00F64EA5"/>
    <w:rsid w:val="00F6538F"/>
    <w:rsid w:val="00F6562C"/>
    <w:rsid w:val="00F658B6"/>
    <w:rsid w:val="00F662CB"/>
    <w:rsid w:val="00F67E34"/>
    <w:rsid w:val="00F71B81"/>
    <w:rsid w:val="00F72D8E"/>
    <w:rsid w:val="00F7462F"/>
    <w:rsid w:val="00F7677D"/>
    <w:rsid w:val="00F80718"/>
    <w:rsid w:val="00F80918"/>
    <w:rsid w:val="00F817FC"/>
    <w:rsid w:val="00F82B55"/>
    <w:rsid w:val="00F84161"/>
    <w:rsid w:val="00F86169"/>
    <w:rsid w:val="00F879FF"/>
    <w:rsid w:val="00F9342A"/>
    <w:rsid w:val="00F94905"/>
    <w:rsid w:val="00F94E01"/>
    <w:rsid w:val="00F9535F"/>
    <w:rsid w:val="00F96C3E"/>
    <w:rsid w:val="00F97E8C"/>
    <w:rsid w:val="00FA08E9"/>
    <w:rsid w:val="00FA12A1"/>
    <w:rsid w:val="00FA1B00"/>
    <w:rsid w:val="00FB07F1"/>
    <w:rsid w:val="00FB08C0"/>
    <w:rsid w:val="00FB2303"/>
    <w:rsid w:val="00FB2404"/>
    <w:rsid w:val="00FB3E79"/>
    <w:rsid w:val="00FB456D"/>
    <w:rsid w:val="00FB6736"/>
    <w:rsid w:val="00FC04A6"/>
    <w:rsid w:val="00FC0F30"/>
    <w:rsid w:val="00FC2831"/>
    <w:rsid w:val="00FC2E2F"/>
    <w:rsid w:val="00FD0109"/>
    <w:rsid w:val="00FD043F"/>
    <w:rsid w:val="00FD19B8"/>
    <w:rsid w:val="00FD352F"/>
    <w:rsid w:val="00FD5590"/>
    <w:rsid w:val="00FD5BEB"/>
    <w:rsid w:val="00FD792D"/>
    <w:rsid w:val="00FD7E12"/>
    <w:rsid w:val="00FE0066"/>
    <w:rsid w:val="00FE19BA"/>
    <w:rsid w:val="00FE37FE"/>
    <w:rsid w:val="00FE447C"/>
    <w:rsid w:val="00FE4E9D"/>
    <w:rsid w:val="00FE7F12"/>
    <w:rsid w:val="00FF2CA7"/>
    <w:rsid w:val="00FF2D11"/>
    <w:rsid w:val="00FF3B77"/>
    <w:rsid w:val="00FF4C00"/>
    <w:rsid w:val="00FF73A9"/>
    <w:rsid w:val="05408142"/>
    <w:rsid w:val="24AF1FDB"/>
    <w:rsid w:val="2E560221"/>
    <w:rsid w:val="3672F0ED"/>
    <w:rsid w:val="39AA91AF"/>
    <w:rsid w:val="4665FCF9"/>
    <w:rsid w:val="4691023D"/>
    <w:rsid w:val="4801CD5A"/>
    <w:rsid w:val="482CD29E"/>
    <w:rsid w:val="499D9DBB"/>
    <w:rsid w:val="4C86949B"/>
    <w:rsid w:val="4D0043C1"/>
    <w:rsid w:val="526B1EF3"/>
    <w:rsid w:val="62C47344"/>
    <w:rsid w:val="64353E61"/>
    <w:rsid w:val="74F4A921"/>
    <w:rsid w:val="7ECCD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DB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169"/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SRKNorm">
    <w:name w:val="SRK Norm."/>
    <w:basedOn w:val="Normlny"/>
    <w:next w:val="Normlny"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850467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FE19BA"/>
    <w:pPr>
      <w:tabs>
        <w:tab w:val="left" w:pos="720"/>
        <w:tab w:val="right" w:leader="dot" w:pos="9062"/>
      </w:tabs>
      <w:spacing w:after="100"/>
      <w:ind w:left="709" w:hanging="469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SRK4">
    <w:name w:val="SRK 4"/>
    <w:basedOn w:val="Nadpis4"/>
    <w:next w:val="Normlny"/>
    <w:autoRedefine/>
    <w:uiPriority w:val="99"/>
    <w:rsid w:val="0003757B"/>
    <w:pPr>
      <w:jc w:val="both"/>
    </w:pPr>
    <w:rPr>
      <w:rFonts w:ascii="Times New Roman" w:eastAsia="Times New Roman" w:hAnsi="Times New Roman" w:cs="Times New Roman"/>
      <w:b/>
      <w:i w:val="0"/>
      <w:color w:val="1E4E9D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304A4F"/>
  </w:style>
  <w:style w:type="character" w:customStyle="1" w:styleId="awspan1">
    <w:name w:val="awspan1"/>
    <w:basedOn w:val="Predvolenpsmoodseku"/>
    <w:rsid w:val="004B14F4"/>
    <w:rPr>
      <w:color w:val="000000"/>
    </w:rPr>
  </w:style>
  <w:style w:type="character" w:customStyle="1" w:styleId="Ukotveniepoznmkypodiarou">
    <w:name w:val="Ukotvenie poznámky pod čiarou"/>
    <w:rsid w:val="00280D2B"/>
    <w:rPr>
      <w:vertAlign w:val="superscript"/>
    </w:rPr>
  </w:style>
  <w:style w:type="character" w:customStyle="1" w:styleId="Znakyprepoznmkupodiarou">
    <w:name w:val="Znaky pre poznámku pod čiarou"/>
    <w:rsid w:val="00280D2B"/>
  </w:style>
  <w:style w:type="paragraph" w:customStyle="1" w:styleId="Default">
    <w:name w:val="Default"/>
    <w:rsid w:val="00966CA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4703D0"/>
    <w:pPr>
      <w:spacing w:after="0" w:line="240" w:lineRule="auto"/>
    </w:pPr>
  </w:style>
  <w:style w:type="character" w:customStyle="1" w:styleId="awspan">
    <w:name w:val="awspan"/>
    <w:basedOn w:val="Predvolenpsmoodseku"/>
    <w:rsid w:val="009B09DF"/>
  </w:style>
  <w:style w:type="character" w:styleId="PouitHypertextovPrepojenie">
    <w:name w:val="FollowedHyperlink"/>
    <w:basedOn w:val="Predvolenpsmoodseku"/>
    <w:uiPriority w:val="99"/>
    <w:semiHidden/>
    <w:unhideWhenUsed/>
    <w:rsid w:val="00F64EA5"/>
    <w:rPr>
      <w:color w:val="800080" w:themeColor="followedHyperlink"/>
      <w:u w:val="single"/>
    </w:rPr>
  </w:style>
  <w:style w:type="character" w:customStyle="1" w:styleId="super">
    <w:name w:val="super"/>
    <w:basedOn w:val="Predvolenpsmoodseku"/>
    <w:rsid w:val="00133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7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1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91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8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32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9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8254">
          <w:marLeft w:val="25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1554">
          <w:marLeft w:val="25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224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4845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6868">
                      <w:marLeft w:val="25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92534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8651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131998">
                      <w:marLeft w:val="25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3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8065424b993848d0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5214CA" w:rsidP="005214CA">
          <w:pPr>
            <w:pStyle w:val="A1DE1FAF9C3142D9B35DEB35D3F6137F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5214CA" w:rsidP="005214CA">
          <w:pPr>
            <w:pStyle w:val="A9F731F61A7042F186F5DB555D9179092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8B949C02102C48BB806712B08BA79A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B8AF6-1AB3-4FCD-9A0D-AB5F2CDB7845}"/>
      </w:docPartPr>
      <w:docPartBody>
        <w:p w:rsidR="005214CA" w:rsidRDefault="005214CA" w:rsidP="005214CA">
          <w:pPr>
            <w:pStyle w:val="8B949C02102C48BB806712B08BA79ACC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A4219D09901046338368609D5773AF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23685-DE09-4DA5-918D-05840144035D}"/>
      </w:docPartPr>
      <w:docPartBody>
        <w:p w:rsidR="005214CA" w:rsidRDefault="005214CA" w:rsidP="005214CA">
          <w:pPr>
            <w:pStyle w:val="A4219D09901046338368609D5773AFBF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063AE"/>
    <w:rsid w:val="0000777B"/>
    <w:rsid w:val="000219E2"/>
    <w:rsid w:val="0004502D"/>
    <w:rsid w:val="00053E9F"/>
    <w:rsid w:val="0006326A"/>
    <w:rsid w:val="00063905"/>
    <w:rsid w:val="00070575"/>
    <w:rsid w:val="00080834"/>
    <w:rsid w:val="000A0741"/>
    <w:rsid w:val="000A7ACC"/>
    <w:rsid w:val="000C4C22"/>
    <w:rsid w:val="000E30BC"/>
    <w:rsid w:val="001104B4"/>
    <w:rsid w:val="00121A9D"/>
    <w:rsid w:val="00140DAE"/>
    <w:rsid w:val="001436DE"/>
    <w:rsid w:val="00161A33"/>
    <w:rsid w:val="00175326"/>
    <w:rsid w:val="00195BC2"/>
    <w:rsid w:val="001D745F"/>
    <w:rsid w:val="001E22E1"/>
    <w:rsid w:val="001E2A72"/>
    <w:rsid w:val="00202B08"/>
    <w:rsid w:val="00205EB5"/>
    <w:rsid w:val="00215D44"/>
    <w:rsid w:val="00232EC0"/>
    <w:rsid w:val="00243465"/>
    <w:rsid w:val="00250BA1"/>
    <w:rsid w:val="00273C3F"/>
    <w:rsid w:val="00294812"/>
    <w:rsid w:val="002965F7"/>
    <w:rsid w:val="002A5608"/>
    <w:rsid w:val="002A5F6E"/>
    <w:rsid w:val="002D5EBB"/>
    <w:rsid w:val="002E6F76"/>
    <w:rsid w:val="002F414E"/>
    <w:rsid w:val="0030497C"/>
    <w:rsid w:val="00322FFE"/>
    <w:rsid w:val="0032692F"/>
    <w:rsid w:val="00345B5B"/>
    <w:rsid w:val="003466EE"/>
    <w:rsid w:val="003612A2"/>
    <w:rsid w:val="00380323"/>
    <w:rsid w:val="00381464"/>
    <w:rsid w:val="003878CD"/>
    <w:rsid w:val="003B7B5A"/>
    <w:rsid w:val="003D1736"/>
    <w:rsid w:val="003E58C3"/>
    <w:rsid w:val="003F0905"/>
    <w:rsid w:val="004249F3"/>
    <w:rsid w:val="00425517"/>
    <w:rsid w:val="00433A7B"/>
    <w:rsid w:val="00440600"/>
    <w:rsid w:val="004427EA"/>
    <w:rsid w:val="004742E7"/>
    <w:rsid w:val="00485356"/>
    <w:rsid w:val="004A0CD0"/>
    <w:rsid w:val="004B6BC2"/>
    <w:rsid w:val="004C2FC6"/>
    <w:rsid w:val="00500829"/>
    <w:rsid w:val="005214CA"/>
    <w:rsid w:val="00531CED"/>
    <w:rsid w:val="005377C4"/>
    <w:rsid w:val="00557100"/>
    <w:rsid w:val="00584BAB"/>
    <w:rsid w:val="00585B72"/>
    <w:rsid w:val="00587BE3"/>
    <w:rsid w:val="00590F6D"/>
    <w:rsid w:val="005C7194"/>
    <w:rsid w:val="005D2394"/>
    <w:rsid w:val="005F454F"/>
    <w:rsid w:val="00602D1E"/>
    <w:rsid w:val="006043D4"/>
    <w:rsid w:val="006063B7"/>
    <w:rsid w:val="00611445"/>
    <w:rsid w:val="00616C33"/>
    <w:rsid w:val="00623B75"/>
    <w:rsid w:val="00640909"/>
    <w:rsid w:val="0064759B"/>
    <w:rsid w:val="00674CBE"/>
    <w:rsid w:val="00680423"/>
    <w:rsid w:val="006837E2"/>
    <w:rsid w:val="00687B79"/>
    <w:rsid w:val="006A4858"/>
    <w:rsid w:val="006A5562"/>
    <w:rsid w:val="006C2C78"/>
    <w:rsid w:val="006E263F"/>
    <w:rsid w:val="006F412F"/>
    <w:rsid w:val="006F5A62"/>
    <w:rsid w:val="006F7AB6"/>
    <w:rsid w:val="00724852"/>
    <w:rsid w:val="00733557"/>
    <w:rsid w:val="00737BD3"/>
    <w:rsid w:val="00741CF9"/>
    <w:rsid w:val="00762316"/>
    <w:rsid w:val="0078658E"/>
    <w:rsid w:val="007B474A"/>
    <w:rsid w:val="007C0CE5"/>
    <w:rsid w:val="007E560C"/>
    <w:rsid w:val="007F0E5C"/>
    <w:rsid w:val="007F6CD4"/>
    <w:rsid w:val="008225C7"/>
    <w:rsid w:val="00837F65"/>
    <w:rsid w:val="00845353"/>
    <w:rsid w:val="0085402B"/>
    <w:rsid w:val="008732B4"/>
    <w:rsid w:val="008B6A7E"/>
    <w:rsid w:val="008D4A58"/>
    <w:rsid w:val="008D5566"/>
    <w:rsid w:val="008E1AA0"/>
    <w:rsid w:val="008E2CA9"/>
    <w:rsid w:val="008F257A"/>
    <w:rsid w:val="00932520"/>
    <w:rsid w:val="009349B9"/>
    <w:rsid w:val="009C49B0"/>
    <w:rsid w:val="009D1673"/>
    <w:rsid w:val="009D6663"/>
    <w:rsid w:val="00A06081"/>
    <w:rsid w:val="00A12DF1"/>
    <w:rsid w:val="00A1304A"/>
    <w:rsid w:val="00A45DD7"/>
    <w:rsid w:val="00A52A4C"/>
    <w:rsid w:val="00A6022C"/>
    <w:rsid w:val="00A7766C"/>
    <w:rsid w:val="00A87D51"/>
    <w:rsid w:val="00A93B8A"/>
    <w:rsid w:val="00AA2C2C"/>
    <w:rsid w:val="00AB4D93"/>
    <w:rsid w:val="00AF354F"/>
    <w:rsid w:val="00AF4D2B"/>
    <w:rsid w:val="00B22832"/>
    <w:rsid w:val="00B22CA6"/>
    <w:rsid w:val="00B26D4B"/>
    <w:rsid w:val="00B64163"/>
    <w:rsid w:val="00B95CC3"/>
    <w:rsid w:val="00BD1A4D"/>
    <w:rsid w:val="00C05B00"/>
    <w:rsid w:val="00C05B0E"/>
    <w:rsid w:val="00C06E9E"/>
    <w:rsid w:val="00C16CB5"/>
    <w:rsid w:val="00C458D4"/>
    <w:rsid w:val="00C74901"/>
    <w:rsid w:val="00C76A04"/>
    <w:rsid w:val="00C96CD3"/>
    <w:rsid w:val="00CC51C5"/>
    <w:rsid w:val="00CD3B1F"/>
    <w:rsid w:val="00CE2D99"/>
    <w:rsid w:val="00D17B26"/>
    <w:rsid w:val="00D52593"/>
    <w:rsid w:val="00D64787"/>
    <w:rsid w:val="00D702DC"/>
    <w:rsid w:val="00D86C03"/>
    <w:rsid w:val="00D871C4"/>
    <w:rsid w:val="00D95E29"/>
    <w:rsid w:val="00DB3451"/>
    <w:rsid w:val="00DC298A"/>
    <w:rsid w:val="00DD034D"/>
    <w:rsid w:val="00DF1217"/>
    <w:rsid w:val="00E117A4"/>
    <w:rsid w:val="00E2485F"/>
    <w:rsid w:val="00E3251D"/>
    <w:rsid w:val="00E355F4"/>
    <w:rsid w:val="00E50938"/>
    <w:rsid w:val="00E50B0C"/>
    <w:rsid w:val="00E77E49"/>
    <w:rsid w:val="00EB2419"/>
    <w:rsid w:val="00EC3AFC"/>
    <w:rsid w:val="00EE32FE"/>
    <w:rsid w:val="00F527D5"/>
    <w:rsid w:val="00F636A7"/>
    <w:rsid w:val="00F65AB9"/>
    <w:rsid w:val="00F72641"/>
    <w:rsid w:val="00F92D19"/>
    <w:rsid w:val="00FB660B"/>
    <w:rsid w:val="00FF281F"/>
    <w:rsid w:val="00FF3250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239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C438CDECBB774123926E36EC328124C81">
    <w:name w:val="C438CDECBB774123926E36EC328124C8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1">
    <w:name w:val="A1DE1FAF9C3142D9B35DEB35D3F6137F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1">
    <w:name w:val="372C34084E1F4CE5A1739291D068FBF6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">
    <w:name w:val="8B949C02102C48BB806712B08BA79ACC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E73669B88F4A4EA76D451AA8B9BF1B">
    <w:name w:val="3FE73669B88F4A4EA76D451AA8B9BF1B"/>
    <w:rsid w:val="00A93B8A"/>
  </w:style>
  <w:style w:type="paragraph" w:customStyle="1" w:styleId="A4219D09901046338368609D5773AFBF">
    <w:name w:val="A4219D09901046338368609D5773AFBF"/>
    <w:rsid w:val="00A93B8A"/>
  </w:style>
  <w:style w:type="paragraph" w:customStyle="1" w:styleId="A4219D09901046338368609D5773AFBF1">
    <w:name w:val="A4219D09901046338368609D5773AFBF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2">
    <w:name w:val="A1DE1FAF9C3142D9B35DEB35D3F6137F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2">
    <w:name w:val="372C34084E1F4CE5A1739291D068FBF6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1">
    <w:name w:val="8B949C02102C48BB806712B08BA79ACC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2">
    <w:name w:val="A9F731F61A7042F186F5DB555D917909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785AF6005143A195B05B73E3AAD317">
    <w:name w:val="52785AF6005143A195B05B73E3AAD317"/>
    <w:rsid w:val="005D23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27452-AD49-4678-9247-0014C789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3629</Words>
  <Characters>20690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2022-07-01T10:31:00Z</dcterms:created>
  <dcterms:modified xsi:type="dcterms:W3CDTF">2022-07-01T13:27:00Z</dcterms:modified>
</cp:coreProperties>
</file>